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F5" w:rsidRPr="00295AFC" w:rsidRDefault="00B657F5" w:rsidP="00B657F5">
      <w:pPr>
        <w:jc w:val="right"/>
        <w:rPr>
          <w:rFonts w:cs="Times New Roman"/>
          <w:i/>
        </w:rPr>
      </w:pPr>
      <w:r w:rsidRPr="00295AFC">
        <w:rPr>
          <w:rFonts w:cs="Times New Roman"/>
          <w:i/>
        </w:rPr>
        <w:t>Информация подготовлена ФКУЗ РосНИПЧИ «Микроб»</w:t>
      </w:r>
    </w:p>
    <w:p w:rsidR="00B657F5" w:rsidRDefault="00B657F5" w:rsidP="00B657F5">
      <w:pPr>
        <w:ind w:firstLine="284"/>
        <w:jc w:val="center"/>
        <w:rPr>
          <w:rFonts w:cs="Times New Roman"/>
          <w:b/>
          <w:lang w:val="ru-RU"/>
        </w:rPr>
      </w:pPr>
    </w:p>
    <w:p w:rsidR="00B657F5" w:rsidRPr="00295AFC" w:rsidRDefault="00B657F5" w:rsidP="00B657F5">
      <w:pPr>
        <w:ind w:firstLine="284"/>
        <w:jc w:val="center"/>
        <w:rPr>
          <w:rFonts w:cs="Times New Roman"/>
          <w:b/>
        </w:rPr>
      </w:pPr>
      <w:r w:rsidRPr="00295AFC">
        <w:rPr>
          <w:rFonts w:cs="Times New Roman"/>
          <w:b/>
        </w:rPr>
        <w:t xml:space="preserve">Эпидемиологическая обстановка и распространение COVID-19 в мире </w:t>
      </w:r>
    </w:p>
    <w:p w:rsidR="00B657F5" w:rsidRPr="00295AFC" w:rsidRDefault="00B657F5" w:rsidP="00B657F5">
      <w:pPr>
        <w:ind w:firstLine="284"/>
        <w:jc w:val="center"/>
        <w:rPr>
          <w:rFonts w:cs="Times New Roman"/>
        </w:rPr>
      </w:pPr>
      <w:r w:rsidRPr="00295AFC">
        <w:rPr>
          <w:rFonts w:cs="Times New Roman"/>
        </w:rPr>
        <w:t xml:space="preserve">по состоянию на 08.00 (МСК) от </w:t>
      </w:r>
      <w:r w:rsidR="006A2304" w:rsidRPr="00295AFC">
        <w:rPr>
          <w:rFonts w:cs="Times New Roman"/>
        </w:rPr>
        <w:fldChar w:fldCharType="begin"/>
      </w:r>
      <w:r w:rsidRPr="00295AFC">
        <w:rPr>
          <w:rFonts w:cs="Times New Roman"/>
        </w:rPr>
        <w:instrText xml:space="preserve"> MERGEFIELD Дата_актуальная \@ </w:instrText>
      </w:r>
      <w:r w:rsidRPr="00295AFC">
        <w:rPr>
          <w:rFonts w:cs="Times New Roman"/>
          <w:lang w:val="en-US"/>
        </w:rPr>
        <w:instrText>dd</w:instrText>
      </w:r>
      <w:r w:rsidRPr="00295AFC">
        <w:rPr>
          <w:rFonts w:cs="Times New Roman"/>
        </w:rPr>
        <w:instrText>.</w:instrText>
      </w:r>
      <w:r w:rsidRPr="00295AFC">
        <w:rPr>
          <w:rFonts w:cs="Times New Roman"/>
          <w:lang w:val="en-US"/>
        </w:rPr>
        <w:instrText>MM</w:instrText>
      </w:r>
      <w:r w:rsidRPr="00295AFC">
        <w:rPr>
          <w:rFonts w:cs="Times New Roman"/>
        </w:rPr>
        <w:instrText>.</w:instrText>
      </w:r>
      <w:r w:rsidRPr="00295AFC">
        <w:rPr>
          <w:rFonts w:cs="Times New Roman"/>
          <w:lang w:val="en-US"/>
        </w:rPr>
        <w:instrText>yyyy</w:instrText>
      </w:r>
      <w:r w:rsidR="006A2304" w:rsidRPr="00295AFC">
        <w:rPr>
          <w:rFonts w:cs="Times New Roman"/>
        </w:rPr>
        <w:fldChar w:fldCharType="separate"/>
      </w:r>
      <w:r>
        <w:rPr>
          <w:rFonts w:cs="Times New Roman"/>
          <w:noProof/>
        </w:rPr>
        <w:t>0</w:t>
      </w:r>
      <w:r>
        <w:rPr>
          <w:rFonts w:cs="Times New Roman"/>
          <w:noProof/>
          <w:lang w:val="ru-RU"/>
        </w:rPr>
        <w:t>2</w:t>
      </w:r>
      <w:r>
        <w:rPr>
          <w:rFonts w:cs="Times New Roman"/>
          <w:noProof/>
        </w:rPr>
        <w:t>.0</w:t>
      </w:r>
      <w:r>
        <w:rPr>
          <w:rFonts w:cs="Times New Roman"/>
          <w:noProof/>
          <w:lang w:val="ru-RU"/>
        </w:rPr>
        <w:t>3</w:t>
      </w:r>
      <w:r>
        <w:rPr>
          <w:rFonts w:cs="Times New Roman"/>
          <w:noProof/>
        </w:rPr>
        <w:t>.2020</w:t>
      </w:r>
      <w:r w:rsidR="006A2304" w:rsidRPr="00295AFC">
        <w:rPr>
          <w:rFonts w:cs="Times New Roman"/>
        </w:rPr>
        <w:fldChar w:fldCharType="end"/>
      </w:r>
      <w:r w:rsidRPr="00295AFC">
        <w:rPr>
          <w:rFonts w:cs="Times New Roman"/>
        </w:rPr>
        <w:t xml:space="preserve"> г.</w:t>
      </w:r>
    </w:p>
    <w:p w:rsidR="00B657F5" w:rsidRDefault="00B657F5" w:rsidP="00B657F5">
      <w:pPr>
        <w:ind w:firstLine="284"/>
        <w:jc w:val="both"/>
        <w:rPr>
          <w:rFonts w:cs="Times New Roman"/>
          <w:b/>
        </w:rPr>
      </w:pPr>
    </w:p>
    <w:p w:rsidR="00B657F5" w:rsidRPr="00B657F5" w:rsidRDefault="00B657F5" w:rsidP="00B657F5">
      <w:pPr>
        <w:pStyle w:val="a6"/>
        <w:spacing w:line="276" w:lineRule="auto"/>
        <w:ind w:left="284"/>
        <w:jc w:val="both"/>
        <w:rPr>
          <w:rFonts w:cs="Times New Roman"/>
        </w:rPr>
      </w:pPr>
    </w:p>
    <w:p w:rsidR="00B657F5" w:rsidRPr="00295AFC" w:rsidRDefault="00B657F5" w:rsidP="00B657F5">
      <w:pPr>
        <w:pStyle w:val="a6"/>
        <w:numPr>
          <w:ilvl w:val="0"/>
          <w:numId w:val="13"/>
        </w:numPr>
        <w:spacing w:line="276" w:lineRule="auto"/>
        <w:ind w:left="0" w:firstLine="284"/>
        <w:jc w:val="both"/>
        <w:rPr>
          <w:rFonts w:cs="Times New Roman"/>
        </w:rPr>
      </w:pPr>
      <w:r w:rsidRPr="00295AFC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Дата </w:instrText>
      </w:r>
      <w:r w:rsidRPr="00295AFC">
        <w:rPr>
          <w:rFonts w:cs="Times New Roman"/>
          <w:b/>
        </w:rPr>
        <w:instrText>\</w:instrText>
      </w:r>
      <w:r w:rsidRPr="00295AFC">
        <w:rPr>
          <w:rFonts w:cs="Times New Roman"/>
          <w:b/>
          <w:lang w:val="ru-RU"/>
        </w:rPr>
        <w:instrText>@</w:instrText>
      </w:r>
      <w:r w:rsidRPr="00295AFC">
        <w:rPr>
          <w:rFonts w:cs="Times New Roman"/>
          <w:b/>
          <w:lang w:val="en-US"/>
        </w:rPr>
        <w:instrText>dd</w:instrText>
      </w:r>
      <w:r w:rsidRPr="00295AFC">
        <w:rPr>
          <w:rFonts w:cs="Times New Roman"/>
          <w:b/>
          <w:lang w:val="ru-RU"/>
        </w:rPr>
        <w:instrText>.</w:instrText>
      </w:r>
      <w:r w:rsidRPr="00295AFC">
        <w:rPr>
          <w:rFonts w:cs="Times New Roman"/>
          <w:b/>
          <w:lang w:val="en-US"/>
        </w:rPr>
        <w:instrText>MM</w:instrText>
      </w:r>
      <w:r w:rsidRPr="00295AFC">
        <w:rPr>
          <w:rFonts w:cs="Times New Roman"/>
          <w:b/>
          <w:lang w:val="ru-RU"/>
        </w:rPr>
        <w:instrText>.</w:instrText>
      </w:r>
      <w:r w:rsidRPr="00295AFC">
        <w:rPr>
          <w:rFonts w:cs="Times New Roman"/>
          <w:b/>
          <w:lang w:val="en-US"/>
        </w:rPr>
        <w:instrText>yyyy</w:instrText>
      </w:r>
      <w:r w:rsidR="006A2304" w:rsidRPr="00295AFC">
        <w:rPr>
          <w:rFonts w:cs="Times New Roman"/>
          <w:lang w:val="ru-RU"/>
        </w:rPr>
        <w:fldChar w:fldCharType="separate"/>
      </w:r>
      <w:r>
        <w:rPr>
          <w:rFonts w:cs="Times New Roman"/>
          <w:noProof/>
          <w:lang w:val="ru-RU"/>
        </w:rPr>
        <w:t>01.03.2020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г. (19.00 по мск) </w:t>
      </w:r>
      <w:r w:rsidRPr="00295AFC">
        <w:rPr>
          <w:rFonts w:cs="Times New Roman"/>
          <w:b/>
          <w:lang w:val="ru-RU"/>
        </w:rPr>
        <w:t xml:space="preserve">в целом в КНР зарегистрировано </w:t>
      </w:r>
      <w:r w:rsidRPr="00295AFC">
        <w:rPr>
          <w:rFonts w:cs="Times New Roman"/>
          <w:lang w:val="ru-RU"/>
        </w:rPr>
        <w:t xml:space="preserve">случаев заболевания – </w:t>
      </w:r>
      <w:r w:rsidR="006A2304" w:rsidRPr="00295AFC">
        <w:rPr>
          <w:rFonts w:cs="Times New Roman"/>
          <w:b/>
          <w:lang w:val="ru-RU"/>
        </w:rPr>
        <w:fldChar w:fldCharType="begin"/>
      </w:r>
      <w:r w:rsidRPr="00295AFC">
        <w:rPr>
          <w:rFonts w:cs="Times New Roman"/>
          <w:b/>
          <w:lang w:val="ru-RU"/>
        </w:rPr>
        <w:instrText xml:space="preserve"> MERGEFIELD Количество_зарегистрированных </w:instrText>
      </w:r>
      <w:r w:rsidR="006A2304" w:rsidRPr="00295AFC">
        <w:rPr>
          <w:rFonts w:cs="Times New Roman"/>
          <w:b/>
          <w:lang w:val="ru-RU"/>
        </w:rPr>
        <w:fldChar w:fldCharType="separate"/>
      </w:r>
      <w:r w:rsidRPr="00550984">
        <w:rPr>
          <w:rFonts w:cs="Times New Roman"/>
          <w:b/>
          <w:noProof/>
        </w:rPr>
        <w:t>80174</w:t>
      </w:r>
      <w:r w:rsidR="006A2304" w:rsidRPr="00295AFC">
        <w:rPr>
          <w:rFonts w:cs="Times New Roman"/>
          <w:b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. За сутки с 00.00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Дата </w:instrText>
      </w:r>
      <w:r w:rsidRPr="00295AFC">
        <w:rPr>
          <w:rFonts w:cs="Times New Roman"/>
          <w:b/>
        </w:rPr>
        <w:instrText>\</w:instrText>
      </w:r>
      <w:r w:rsidRPr="00295AFC">
        <w:rPr>
          <w:rFonts w:cs="Times New Roman"/>
          <w:b/>
          <w:lang w:val="ru-RU"/>
        </w:rPr>
        <w:instrText xml:space="preserve">@ </w:instrText>
      </w:r>
      <w:r w:rsidRPr="00295AFC">
        <w:rPr>
          <w:rFonts w:cs="Times New Roman"/>
          <w:b/>
          <w:lang w:val="en-US"/>
        </w:rPr>
        <w:instrText>dd</w:instrText>
      </w:r>
      <w:r w:rsidRPr="00295AFC">
        <w:rPr>
          <w:rFonts w:cs="Times New Roman"/>
          <w:b/>
          <w:lang w:val="ru-RU"/>
        </w:rPr>
        <w:instrText>.</w:instrText>
      </w:r>
      <w:r w:rsidRPr="00295AFC">
        <w:rPr>
          <w:rFonts w:cs="Times New Roman"/>
          <w:b/>
          <w:lang w:val="en-US"/>
        </w:rPr>
        <w:instrText>MM</w:instrText>
      </w:r>
      <w:r w:rsidRPr="00295AFC">
        <w:rPr>
          <w:rFonts w:cs="Times New Roman"/>
          <w:b/>
          <w:lang w:val="ru-RU"/>
        </w:rPr>
        <w:instrText>.</w:instrText>
      </w:r>
      <w:r w:rsidRPr="00295AFC">
        <w:rPr>
          <w:rFonts w:cs="Times New Roman"/>
          <w:b/>
          <w:lang w:val="en-US"/>
        </w:rPr>
        <w:instrText>yyyy</w:instrText>
      </w:r>
      <w:r w:rsidRPr="00295AFC">
        <w:rPr>
          <w:rFonts w:cs="Times New Roman"/>
          <w:lang w:val="ru-RU"/>
        </w:rPr>
        <w:instrText xml:space="preserve"> </w:instrText>
      </w:r>
      <w:r w:rsidR="006A2304" w:rsidRPr="00295AFC">
        <w:rPr>
          <w:rFonts w:cs="Times New Roman"/>
          <w:lang w:val="ru-RU"/>
        </w:rPr>
        <w:fldChar w:fldCharType="separate"/>
      </w:r>
      <w:r>
        <w:rPr>
          <w:rFonts w:cs="Times New Roman"/>
          <w:noProof/>
          <w:lang w:val="ru-RU"/>
        </w:rPr>
        <w:t>01.03.2020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по 00.00 (время Пекина)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Дата_актуальная </w:instrText>
      </w:r>
      <w:r w:rsidRPr="00295AFC">
        <w:rPr>
          <w:rFonts w:cs="Times New Roman"/>
          <w:b/>
        </w:rPr>
        <w:instrText>\</w:instrText>
      </w:r>
      <w:r w:rsidRPr="00295AFC">
        <w:rPr>
          <w:rFonts w:cs="Times New Roman"/>
          <w:b/>
          <w:lang w:val="ru-RU"/>
        </w:rPr>
        <w:instrText xml:space="preserve">@ </w:instrText>
      </w:r>
      <w:r w:rsidRPr="00295AFC">
        <w:rPr>
          <w:rFonts w:cs="Times New Roman"/>
          <w:b/>
          <w:lang w:val="en-US"/>
        </w:rPr>
        <w:instrText>dd</w:instrText>
      </w:r>
      <w:r w:rsidRPr="00295AFC">
        <w:rPr>
          <w:rFonts w:cs="Times New Roman"/>
          <w:b/>
          <w:lang w:val="ru-RU"/>
        </w:rPr>
        <w:instrText>.</w:instrText>
      </w:r>
      <w:r w:rsidRPr="00295AFC">
        <w:rPr>
          <w:rFonts w:cs="Times New Roman"/>
          <w:b/>
          <w:lang w:val="en-US"/>
        </w:rPr>
        <w:instrText>MM</w:instrText>
      </w:r>
      <w:r w:rsidRPr="00295AFC">
        <w:rPr>
          <w:rFonts w:cs="Times New Roman"/>
          <w:b/>
          <w:lang w:val="ru-RU"/>
        </w:rPr>
        <w:instrText>.</w:instrText>
      </w:r>
      <w:r w:rsidRPr="00295AFC">
        <w:rPr>
          <w:rFonts w:cs="Times New Roman"/>
          <w:b/>
          <w:lang w:val="en-US"/>
        </w:rPr>
        <w:instrText>yyyy</w:instrText>
      </w:r>
      <w:r w:rsidRPr="00295AFC">
        <w:rPr>
          <w:rFonts w:cs="Times New Roman"/>
          <w:lang w:val="ru-RU"/>
        </w:rPr>
        <w:instrText xml:space="preserve"> </w:instrText>
      </w:r>
      <w:r w:rsidR="006A2304" w:rsidRPr="00295AFC">
        <w:rPr>
          <w:rFonts w:cs="Times New Roman"/>
          <w:lang w:val="ru-RU"/>
        </w:rPr>
        <w:fldChar w:fldCharType="separate"/>
      </w:r>
      <w:r>
        <w:rPr>
          <w:rFonts w:cs="Times New Roman"/>
          <w:noProof/>
          <w:lang w:val="ru-RU"/>
        </w:rPr>
        <w:t>02.03.2020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г. прирост составил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Прирост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206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случаев (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Прирост_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0,3%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). </w:t>
      </w:r>
    </w:p>
    <w:p w:rsidR="00B657F5" w:rsidRPr="00295AFC" w:rsidRDefault="00B657F5" w:rsidP="00B657F5">
      <w:pPr>
        <w:pStyle w:val="a6"/>
        <w:numPr>
          <w:ilvl w:val="0"/>
          <w:numId w:val="13"/>
        </w:numPr>
        <w:spacing w:line="276" w:lineRule="auto"/>
        <w:ind w:left="0" w:firstLine="284"/>
        <w:jc w:val="both"/>
        <w:rPr>
          <w:rFonts w:cs="Times New Roman"/>
        </w:rPr>
      </w:pPr>
      <w:r w:rsidRPr="00295AFC">
        <w:rPr>
          <w:rFonts w:cs="Times New Roman"/>
          <w:lang w:val="ru-RU"/>
        </w:rPr>
        <w:t xml:space="preserve">Случаев с летальным исходом –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Летальных_случаев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2915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(прирост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Сут_разница_лет_КНР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42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; летальность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Летальность_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3,6%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; вне провинции Хубэй –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Летальность_вне_Хубэя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0,86%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). В тяжёлом состоянии находятся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Тяжёлых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7110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человек (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M__тяжёлых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8,9%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). Выписано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Выписанные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44519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человек (прирост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Прирост_выписанных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2694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;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Прирост_вып_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6%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). Отслежено контактных лиц -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Отслежено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663240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(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За_последние_сутки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2524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за последние сутки, прирост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Прирост_отсл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0,4%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), </w:t>
      </w:r>
      <w:r w:rsidR="006A2304" w:rsidRPr="00295AFC">
        <w:rPr>
          <w:rFonts w:cs="Times New Roman"/>
          <w:lang w:val="ru-RU"/>
        </w:rPr>
        <w:fldChar w:fldCharType="begin"/>
      </w:r>
      <w:r w:rsidRPr="00295AFC">
        <w:rPr>
          <w:rFonts w:cs="Times New Roman"/>
          <w:lang w:val="ru-RU"/>
        </w:rPr>
        <w:instrText xml:space="preserve"> MERGEFIELD Под_набл </w:instrText>
      </w:r>
      <w:r w:rsidR="006A2304" w:rsidRPr="00295AFC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46199</w:t>
      </w:r>
      <w:r w:rsidR="006A2304" w:rsidRPr="00295AFC">
        <w:rPr>
          <w:rFonts w:cs="Times New Roman"/>
          <w:lang w:val="ru-RU"/>
        </w:rPr>
        <w:fldChar w:fldCharType="end"/>
      </w:r>
      <w:r w:rsidRPr="00295AFC">
        <w:rPr>
          <w:rFonts w:cs="Times New Roman"/>
          <w:lang w:val="ru-RU"/>
        </w:rPr>
        <w:t xml:space="preserve"> находятся под наблюдением. </w:t>
      </w:r>
    </w:p>
    <w:p w:rsidR="00B657F5" w:rsidRDefault="00B657F5" w:rsidP="00B657F5">
      <w:pPr>
        <w:pStyle w:val="a6"/>
        <w:numPr>
          <w:ilvl w:val="0"/>
          <w:numId w:val="13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Всего в мире по состоянию на 08.00 по мск </w:t>
      </w:r>
      <w:r w:rsidR="006A2304" w:rsidRPr="00295AFC">
        <w:rPr>
          <w:rFonts w:cs="Times New Roman"/>
        </w:rPr>
        <w:fldChar w:fldCharType="begin"/>
      </w:r>
      <w:r w:rsidRPr="00295AFC">
        <w:rPr>
          <w:rFonts w:cs="Times New Roman"/>
        </w:rPr>
        <w:instrText xml:space="preserve"> MERGEFIELD Дата_актуальная \@ </w:instrText>
      </w:r>
      <w:r w:rsidRPr="00295AFC">
        <w:rPr>
          <w:rFonts w:cs="Times New Roman"/>
          <w:lang w:val="en-US"/>
        </w:rPr>
        <w:instrText>dd</w:instrText>
      </w:r>
      <w:r w:rsidRPr="00295AFC">
        <w:rPr>
          <w:rFonts w:cs="Times New Roman"/>
        </w:rPr>
        <w:instrText>.</w:instrText>
      </w:r>
      <w:r w:rsidRPr="00295AFC">
        <w:rPr>
          <w:rFonts w:cs="Times New Roman"/>
          <w:lang w:val="en-US"/>
        </w:rPr>
        <w:instrText>MM</w:instrText>
      </w:r>
      <w:r w:rsidRPr="00295AFC">
        <w:rPr>
          <w:rFonts w:cs="Times New Roman"/>
        </w:rPr>
        <w:instrText>.</w:instrText>
      </w:r>
      <w:r w:rsidRPr="00295AFC">
        <w:rPr>
          <w:rFonts w:cs="Times New Roman"/>
          <w:lang w:val="en-US"/>
        </w:rPr>
        <w:instrText>yyyy</w:instrText>
      </w:r>
      <w:r w:rsidR="006A2304" w:rsidRPr="00295AFC">
        <w:rPr>
          <w:rFonts w:cs="Times New Roman"/>
        </w:rPr>
        <w:fldChar w:fldCharType="separate"/>
      </w:r>
      <w:r>
        <w:rPr>
          <w:rFonts w:cs="Times New Roman"/>
          <w:noProof/>
        </w:rPr>
        <w:t>0</w:t>
      </w:r>
      <w:r>
        <w:rPr>
          <w:rFonts w:cs="Times New Roman"/>
          <w:noProof/>
          <w:lang w:val="ru-RU"/>
        </w:rPr>
        <w:t>2</w:t>
      </w:r>
      <w:r>
        <w:rPr>
          <w:rFonts w:cs="Times New Roman"/>
          <w:noProof/>
        </w:rPr>
        <w:t>.0</w:t>
      </w:r>
      <w:r>
        <w:rPr>
          <w:rFonts w:cs="Times New Roman"/>
          <w:noProof/>
          <w:lang w:val="ru-RU"/>
        </w:rPr>
        <w:t>3</w:t>
      </w:r>
      <w:r>
        <w:rPr>
          <w:rFonts w:cs="Times New Roman"/>
          <w:noProof/>
        </w:rPr>
        <w:t>.2020</w:t>
      </w:r>
      <w:r w:rsidR="006A2304" w:rsidRPr="00295AFC">
        <w:rPr>
          <w:rFonts w:cs="Times New Roman"/>
        </w:rPr>
        <w:fldChar w:fldCharType="end"/>
      </w:r>
      <w:r w:rsidRPr="00295AFC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г. из доступных источников известно о </w:t>
      </w:r>
      <w:r w:rsidR="006A2304" w:rsidRPr="00B657F5">
        <w:rPr>
          <w:rFonts w:cs="Times New Roman"/>
          <w:b/>
          <w:lang w:val="ru-RU"/>
        </w:rPr>
        <w:fldChar w:fldCharType="begin"/>
      </w:r>
      <w:r w:rsidRPr="00B657F5">
        <w:rPr>
          <w:rFonts w:cs="Times New Roman"/>
          <w:b/>
          <w:lang w:val="ru-RU"/>
        </w:rPr>
        <w:instrText xml:space="preserve"> MERGEFIELD Всего_в_мире </w:instrText>
      </w:r>
      <w:r w:rsidR="006A2304" w:rsidRPr="00B657F5">
        <w:rPr>
          <w:rFonts w:cs="Times New Roman"/>
          <w:b/>
          <w:lang w:val="ru-RU"/>
        </w:rPr>
        <w:fldChar w:fldCharType="separate"/>
      </w:r>
      <w:r w:rsidRPr="00B657F5">
        <w:rPr>
          <w:rFonts w:cs="Times New Roman"/>
          <w:b/>
          <w:noProof/>
        </w:rPr>
        <w:t>89066</w:t>
      </w:r>
      <w:r w:rsidR="006A2304" w:rsidRPr="00B657F5">
        <w:rPr>
          <w:rFonts w:cs="Times New Roman"/>
          <w:b/>
          <w:lang w:val="ru-RU"/>
        </w:rPr>
        <w:fldChar w:fldCharType="end"/>
      </w:r>
      <w:r>
        <w:rPr>
          <w:rFonts w:cs="Times New Roman"/>
          <w:lang w:val="ru-RU"/>
        </w:rPr>
        <w:t xml:space="preserve"> подтверждённых случаях (</w:t>
      </w:r>
      <w:r>
        <w:rPr>
          <w:rFonts w:cs="Times New Roman"/>
        </w:rPr>
        <w:t xml:space="preserve">прирост за сутки </w:t>
      </w:r>
      <w:r w:rsidR="006A2304">
        <w:rPr>
          <w:rFonts w:cs="Times New Roman"/>
          <w:lang w:val="ru-RU"/>
        </w:rPr>
        <w:fldChar w:fldCharType="begin"/>
      </w:r>
      <w:r>
        <w:rPr>
          <w:rFonts w:cs="Times New Roman"/>
          <w:lang w:val="ru-RU"/>
        </w:rPr>
        <w:instrText xml:space="preserve"> MERGEFIELD Прирост_в_мире </w:instrText>
      </w:r>
      <w:r w:rsidR="006A2304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2084</w:t>
      </w:r>
      <w:r w:rsidR="006A2304">
        <w:rPr>
          <w:rFonts w:cs="Times New Roman"/>
          <w:lang w:val="ru-RU"/>
        </w:rPr>
        <w:fldChar w:fldCharType="end"/>
      </w:r>
      <w:r>
        <w:rPr>
          <w:rFonts w:cs="Times New Roman"/>
        </w:rPr>
        <w:t xml:space="preserve"> случа</w:t>
      </w:r>
      <w:r w:rsidR="002F2E76">
        <w:rPr>
          <w:rFonts w:cs="Times New Roman"/>
          <w:lang w:val="ru-RU"/>
        </w:rPr>
        <w:t>я</w:t>
      </w:r>
      <w:r>
        <w:rPr>
          <w:rFonts w:cs="Times New Roman"/>
        </w:rPr>
        <w:t xml:space="preserve">; </w:t>
      </w:r>
      <w:r w:rsidR="006A2304">
        <w:rPr>
          <w:rFonts w:cs="Times New Roman"/>
          <w:lang w:val="ru-RU"/>
        </w:rPr>
        <w:fldChar w:fldCharType="begin"/>
      </w:r>
      <w:r>
        <w:rPr>
          <w:rFonts w:cs="Times New Roman"/>
          <w:lang w:val="ru-RU"/>
        </w:rPr>
        <w:instrText xml:space="preserve"> MERGEFIELD Прирост_мир_процент </w:instrText>
      </w:r>
      <w:r w:rsidR="006A2304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2,4%</w:t>
      </w:r>
      <w:r w:rsidR="006A2304">
        <w:rPr>
          <w:rFonts w:cs="Times New Roman"/>
          <w:lang w:val="ru-RU"/>
        </w:rPr>
        <w:fldChar w:fldCharType="end"/>
      </w:r>
      <w:r>
        <w:rPr>
          <w:rFonts w:cs="Times New Roman"/>
          <w:lang w:val="ru-RU"/>
        </w:rPr>
        <w:t xml:space="preserve">). В </w:t>
      </w:r>
      <w:r w:rsidR="006A2304">
        <w:rPr>
          <w:rFonts w:cs="Times New Roman"/>
          <w:lang w:val="ru-RU"/>
        </w:rPr>
        <w:fldChar w:fldCharType="begin"/>
      </w:r>
      <w:r>
        <w:rPr>
          <w:rFonts w:cs="Times New Roman"/>
          <w:lang w:val="ru-RU"/>
        </w:rPr>
        <w:instrText xml:space="preserve"> MERGEFIELD Колво_стран_вне_КНР </w:instrText>
      </w:r>
      <w:r w:rsidR="006A2304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63</w:t>
      </w:r>
      <w:r w:rsidR="006A2304">
        <w:rPr>
          <w:rFonts w:cs="Times New Roman"/>
          <w:lang w:val="ru-RU"/>
        </w:rPr>
        <w:fldChar w:fldCharType="end"/>
      </w:r>
      <w:r>
        <w:rPr>
          <w:rFonts w:cs="Times New Roman"/>
          <w:lang w:val="ru-RU"/>
        </w:rPr>
        <w:t xml:space="preserve"> странах мира вне КНР зарегистрировано </w:t>
      </w:r>
      <w:r w:rsidR="006A2304">
        <w:rPr>
          <w:rFonts w:cs="Times New Roman"/>
          <w:lang w:val="ru-RU"/>
        </w:rPr>
        <w:fldChar w:fldCharType="begin"/>
      </w:r>
      <w:r>
        <w:rPr>
          <w:rFonts w:cs="Times New Roman"/>
          <w:lang w:val="ru-RU"/>
        </w:rPr>
        <w:instrText xml:space="preserve"> MERGEFIELD Вне_КНР </w:instrText>
      </w:r>
      <w:r w:rsidR="006A2304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8892</w:t>
      </w:r>
      <w:r w:rsidR="006A2304">
        <w:rPr>
          <w:rFonts w:cs="Times New Roman"/>
          <w:lang w:val="ru-RU"/>
        </w:rPr>
        <w:fldChar w:fldCharType="end"/>
      </w:r>
      <w:r>
        <w:rPr>
          <w:rFonts w:cs="Times New Roman"/>
          <w:lang w:val="ru-RU"/>
        </w:rPr>
        <w:t xml:space="preserve"> случа</w:t>
      </w:r>
      <w:r w:rsidR="002F2E76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(за последние сутки прирост </w:t>
      </w:r>
      <w:r w:rsidR="006A2304">
        <w:rPr>
          <w:rFonts w:cs="Times New Roman"/>
          <w:lang w:val="ru-RU"/>
        </w:rPr>
        <w:fldChar w:fldCharType="begin"/>
      </w:r>
      <w:r>
        <w:rPr>
          <w:rFonts w:cs="Times New Roman"/>
          <w:lang w:val="ru-RU"/>
        </w:rPr>
        <w:instrText xml:space="preserve"> MERGEFIELD Прирост_вне_КНР </w:instrText>
      </w:r>
      <w:r w:rsidR="006A2304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1878</w:t>
      </w:r>
      <w:r w:rsidR="006A2304">
        <w:rPr>
          <w:rFonts w:cs="Times New Roman"/>
          <w:lang w:val="ru-RU"/>
        </w:rPr>
        <w:fldChar w:fldCharType="end"/>
      </w:r>
      <w:r>
        <w:rPr>
          <w:rFonts w:cs="Times New Roman"/>
          <w:lang w:val="ru-RU"/>
        </w:rPr>
        <w:t xml:space="preserve">; </w:t>
      </w:r>
      <w:r w:rsidR="006A2304">
        <w:rPr>
          <w:rFonts w:cs="Times New Roman"/>
          <w:lang w:val="ru-RU"/>
        </w:rPr>
        <w:fldChar w:fldCharType="begin"/>
      </w:r>
      <w:r>
        <w:rPr>
          <w:rFonts w:cs="Times New Roman"/>
          <w:lang w:val="ru-RU"/>
        </w:rPr>
        <w:instrText xml:space="preserve"> MERGEFIELD Прирост_вне_КНР_процент </w:instrText>
      </w:r>
      <w:r w:rsidR="006A2304">
        <w:rPr>
          <w:rFonts w:cs="Times New Roman"/>
          <w:lang w:val="ru-RU"/>
        </w:rPr>
        <w:fldChar w:fldCharType="separate"/>
      </w:r>
      <w:r w:rsidRPr="00550984">
        <w:rPr>
          <w:rFonts w:cs="Times New Roman"/>
          <w:noProof/>
        </w:rPr>
        <w:t>26,8%</w:t>
      </w:r>
      <w:r w:rsidR="006A2304">
        <w:rPr>
          <w:rFonts w:cs="Times New Roman"/>
          <w:lang w:val="ru-RU"/>
        </w:rPr>
        <w:fldChar w:fldCharType="end"/>
      </w:r>
      <w:r>
        <w:rPr>
          <w:rFonts w:cs="Times New Roman"/>
          <w:lang w:val="ru-RU"/>
        </w:rPr>
        <w:t>).</w:t>
      </w:r>
    </w:p>
    <w:p w:rsidR="00543039" w:rsidRPr="00543039" w:rsidRDefault="00543039" w:rsidP="00B657F5">
      <w:pPr>
        <w:pStyle w:val="a6"/>
        <w:numPr>
          <w:ilvl w:val="0"/>
          <w:numId w:val="13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543039">
        <w:rPr>
          <w:rFonts w:cs="Times New Roman"/>
          <w:lang w:val="ru-RU"/>
        </w:rPr>
        <w:t xml:space="preserve">За последние </w:t>
      </w:r>
      <w:r>
        <w:rPr>
          <w:rFonts w:cs="Times New Roman"/>
          <w:lang w:val="ru-RU"/>
        </w:rPr>
        <w:t>сутки впервые случаи заболевания зарегистрированы в Чехии (3) и Доминиканской Республике (1); все – завозные случаи из Италии.</w:t>
      </w:r>
    </w:p>
    <w:p w:rsidR="00B657F5" w:rsidRDefault="00B657F5" w:rsidP="00B657F5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7"/>
        <w:gridCol w:w="1329"/>
        <w:gridCol w:w="1336"/>
        <w:gridCol w:w="1336"/>
        <w:gridCol w:w="1363"/>
        <w:gridCol w:w="1337"/>
        <w:gridCol w:w="1553"/>
      </w:tblGrid>
      <w:tr w:rsidR="00B657F5" w:rsidRPr="007E6987" w:rsidTr="007023B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57F5" w:rsidRPr="007E6987" w:rsidRDefault="00B657F5" w:rsidP="007023B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57F5" w:rsidRPr="007E6987" w:rsidRDefault="00B657F5" w:rsidP="007023B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B657F5" w:rsidP="007023B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B657F5" w:rsidP="007023B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57F5" w:rsidRPr="007E6987" w:rsidRDefault="00B657F5" w:rsidP="007023B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57F5" w:rsidRPr="007E6987" w:rsidRDefault="00B657F5" w:rsidP="007023B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57F5" w:rsidRPr="007E6987" w:rsidRDefault="00B657F5" w:rsidP="007023BE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B657F5" w:rsidRPr="007E6987" w:rsidTr="007023B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57F5" w:rsidRPr="007E6987" w:rsidRDefault="00B657F5" w:rsidP="007023B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80174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206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0,3%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2915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42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3,6%</w:t>
            </w:r>
            <w:r>
              <w:rPr>
                <w:rFonts w:cs="Times New Roman"/>
              </w:rPr>
              <w:fldChar w:fldCharType="end"/>
            </w:r>
          </w:p>
        </w:tc>
      </w:tr>
      <w:tr w:rsidR="00B657F5" w:rsidRPr="007E6987" w:rsidTr="007023B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57F5" w:rsidRPr="007E6987" w:rsidRDefault="00B657F5" w:rsidP="007023B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8892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1878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26,8%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130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25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1,5%</w:t>
            </w:r>
            <w:r>
              <w:rPr>
                <w:rFonts w:cs="Times New Roman"/>
              </w:rPr>
              <w:fldChar w:fldCharType="end"/>
            </w:r>
          </w:p>
        </w:tc>
      </w:tr>
      <w:tr w:rsidR="00B657F5" w:rsidRPr="007E6987" w:rsidTr="007023BE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657F5" w:rsidRPr="007E6987" w:rsidRDefault="00B657F5" w:rsidP="007023B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89066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2084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2,4%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3045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67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B657F5" w:rsidRPr="007E6987" w:rsidRDefault="006A2304" w:rsidP="007023B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B657F5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B657F5" w:rsidRPr="00550984">
              <w:rPr>
                <w:rFonts w:cs="Times New Roman"/>
                <w:noProof/>
                <w:sz w:val="24"/>
                <w:szCs w:val="24"/>
              </w:rPr>
              <w:t>3,4%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</w:rPr>
      </w:pPr>
    </w:p>
    <w:p w:rsidR="00A304AB" w:rsidRDefault="00A304AB" w:rsidP="00DB69E3">
      <w:pPr>
        <w:spacing w:line="276" w:lineRule="auto"/>
        <w:rPr>
          <w:rFonts w:cs="Times New Roman"/>
          <w:i/>
          <w:lang w:val="ru-RU"/>
        </w:rPr>
      </w:pPr>
    </w:p>
    <w:p w:rsidR="00DB7940" w:rsidRPr="0078249C" w:rsidRDefault="00B657F5" w:rsidP="00DB7940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79340" cy="2505075"/>
            <wp:effectExtent l="0" t="0" r="0" b="0"/>
            <wp:docPr id="7" name="Рисунок 4" descr="File:COVID-19 Outbreak World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COVID-19 Outbreak World Map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Default="00E77491" w:rsidP="00DB7940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47485" cy="336550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Default="00DB7940" w:rsidP="00DB7940">
      <w:pPr>
        <w:rPr>
          <w:lang w:val="en-US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15B51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301" w:type="dxa"/>
        <w:jc w:val="center"/>
        <w:tblInd w:w="-1606" w:type="dxa"/>
        <w:tblLayout w:type="fixed"/>
        <w:tblLook w:val="04A0"/>
      </w:tblPr>
      <w:tblGrid>
        <w:gridCol w:w="1526"/>
        <w:gridCol w:w="425"/>
        <w:gridCol w:w="1134"/>
        <w:gridCol w:w="1699"/>
        <w:gridCol w:w="1548"/>
        <w:gridCol w:w="1300"/>
        <w:gridCol w:w="1439"/>
        <w:gridCol w:w="1230"/>
      </w:tblGrid>
      <w:tr w:rsidR="00DB7940" w:rsidRPr="00B679C4" w:rsidTr="002C1C42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Количество случаев </w:t>
            </w:r>
          </w:p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последние сутки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Количество случаев с летальным исходом</w:t>
            </w:r>
            <w:r w:rsidRPr="00B679C4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DB7940" w:rsidRPr="00B679C4" w:rsidRDefault="00DB7940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 xml:space="preserve">01.12.19 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80174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2915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4212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8484C" w:rsidRPr="00ED1A2C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Pr="00B679C4" w:rsidRDefault="0028484C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8484C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28484C" w:rsidRPr="00B679C4" w:rsidRDefault="0028484C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28484C" w:rsidRPr="00B679C4" w:rsidRDefault="0028484C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28484C" w:rsidRDefault="0028484C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548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28484C" w:rsidRDefault="00284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28484C" w:rsidRDefault="002848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</w:tcPr>
          <w:p w:rsidR="00E77491" w:rsidRPr="00B679C4" w:rsidRDefault="00E77491" w:rsidP="007023B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</w:tcPr>
          <w:p w:rsidR="00E77491" w:rsidRDefault="00E77491" w:rsidP="0070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548" w:type="dxa"/>
            <w:vAlign w:val="bottom"/>
          </w:tcPr>
          <w:p w:rsidR="00E77491" w:rsidRDefault="00E77491" w:rsidP="0070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vAlign w:val="bottom"/>
          </w:tcPr>
          <w:p w:rsidR="00E77491" w:rsidRDefault="00E77491" w:rsidP="007023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vAlign w:val="bottom"/>
          </w:tcPr>
          <w:p w:rsidR="00E77491" w:rsidRDefault="00E77491" w:rsidP="0070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E77491" w:rsidRDefault="00E77491" w:rsidP="007023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7491" w:rsidRPr="00B679C4" w:rsidRDefault="00E7749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77491" w:rsidRPr="00E77491" w:rsidRDefault="00E7749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Чехия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491" w:rsidRPr="00B679C4" w:rsidRDefault="00E77491" w:rsidP="000113DC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491" w:rsidRPr="00B679C4" w:rsidRDefault="00E77491" w:rsidP="000113D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491" w:rsidRPr="00B679C4" w:rsidRDefault="00E7749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491" w:rsidRPr="00B679C4" w:rsidRDefault="00E77491" w:rsidP="007023B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E77491" w:rsidRDefault="00E77491" w:rsidP="0070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E77491" w:rsidRDefault="00E77491" w:rsidP="0070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bottom"/>
          </w:tcPr>
          <w:p w:rsidR="00E77491" w:rsidRDefault="00E77491" w:rsidP="007023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:rsidR="00E77491" w:rsidRDefault="00E77491" w:rsidP="007023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E77491" w:rsidRDefault="00E77491" w:rsidP="007023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77491" w:rsidRPr="00B679C4" w:rsidRDefault="00E77491" w:rsidP="007023BE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77491" w:rsidRPr="00E77491" w:rsidRDefault="00E7749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Доминиканская Республика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E77491" w:rsidRPr="00E77491" w:rsidRDefault="00E7749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vMerge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8484C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trHeight w:val="276"/>
          <w:jc w:val="center"/>
        </w:trPr>
        <w:tc>
          <w:tcPr>
            <w:tcW w:w="152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trHeight w:val="35"/>
          <w:jc w:val="center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77491" w:rsidRPr="00B679C4" w:rsidRDefault="00E77491" w:rsidP="002C1C42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trHeight w:val="35"/>
          <w:jc w:val="center"/>
        </w:trPr>
        <w:tc>
          <w:tcPr>
            <w:tcW w:w="1526" w:type="dxa"/>
            <w:vMerge/>
            <w:vAlign w:val="center"/>
          </w:tcPr>
          <w:p w:rsidR="00E77491" w:rsidRPr="00B679C4" w:rsidRDefault="00E77491" w:rsidP="002C1C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Pr="00B679C4" w:rsidRDefault="00E77491" w:rsidP="002C1C4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7491" w:rsidRDefault="00E77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77491" w:rsidRPr="00B679C4" w:rsidTr="002C1C42">
        <w:trPr>
          <w:jc w:val="center"/>
        </w:trPr>
        <w:tc>
          <w:tcPr>
            <w:tcW w:w="1526" w:type="dxa"/>
            <w:tcBorders>
              <w:top w:val="thickThinLargeGap" w:sz="2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</w:tcPr>
          <w:p w:rsidR="00E77491" w:rsidRPr="00B679C4" w:rsidRDefault="00E77491" w:rsidP="002C1C42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thickThinLargeGap" w:sz="24" w:space="0" w:color="auto"/>
            </w:tcBorders>
            <w:vAlign w:val="center"/>
          </w:tcPr>
          <w:p w:rsidR="00E77491" w:rsidRPr="00B679C4" w:rsidRDefault="00E77491" w:rsidP="00BC44A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89066</w:t>
            </w:r>
          </w:p>
        </w:tc>
        <w:tc>
          <w:tcPr>
            <w:tcW w:w="1300" w:type="dxa"/>
            <w:tcBorders>
              <w:top w:val="thickThinLargeGap" w:sz="24" w:space="0" w:color="auto"/>
            </w:tcBorders>
            <w:vAlign w:val="center"/>
          </w:tcPr>
          <w:p w:rsidR="00E77491" w:rsidRPr="00B679C4" w:rsidRDefault="00E77491" w:rsidP="00BC44A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2084</w:t>
            </w:r>
          </w:p>
        </w:tc>
        <w:tc>
          <w:tcPr>
            <w:tcW w:w="1439" w:type="dxa"/>
            <w:tcBorders>
              <w:top w:val="thickThinLargeGap" w:sz="24" w:space="0" w:color="auto"/>
            </w:tcBorders>
          </w:tcPr>
          <w:p w:rsidR="00E77491" w:rsidRPr="00B679C4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3045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</w:tcPr>
          <w:p w:rsidR="00E77491" w:rsidRPr="00210628" w:rsidRDefault="00E77491" w:rsidP="002C1C42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67</w:t>
            </w:r>
          </w:p>
        </w:tc>
      </w:tr>
    </w:tbl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DB7940" w:rsidRDefault="00DB7940" w:rsidP="00DB7940">
      <w:pPr>
        <w:rPr>
          <w:lang w:val="en-US"/>
        </w:rPr>
      </w:pPr>
    </w:p>
    <w:p w:rsidR="00A74AE6" w:rsidRDefault="00A74AE6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Pr="00264197" w:rsidRDefault="00A74AE6" w:rsidP="00B679C4">
      <w:pPr>
        <w:rPr>
          <w:lang w:val="ru-RU"/>
        </w:rPr>
      </w:pPr>
    </w:p>
    <w:p w:rsidR="00A74AE6" w:rsidRDefault="00E77491" w:rsidP="00DB0242">
      <w:pPr>
        <w:ind w:left="-1276"/>
        <w:jc w:val="center"/>
        <w:rPr>
          <w:lang w:val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86687" cy="273929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30" cy="274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AE6" w:rsidRPr="00A74AE6" w:rsidRDefault="00A74AE6" w:rsidP="00A74AE6">
      <w:pPr>
        <w:rPr>
          <w:lang w:val="en-US"/>
        </w:rPr>
      </w:pPr>
    </w:p>
    <w:p w:rsidR="00264197" w:rsidRDefault="0026299B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Рис.3 - </w:t>
      </w:r>
      <w:r w:rsidR="00264197" w:rsidRPr="004921D9">
        <w:rPr>
          <w:rFonts w:cs="Times New Roman"/>
          <w:lang w:val="ru-RU"/>
        </w:rPr>
        <w:t>Количество регистрируемых ежедневно случаев</w:t>
      </w:r>
      <w:r w:rsidR="00264197" w:rsidRPr="00264197">
        <w:rPr>
          <w:rFonts w:cs="Times New Roman"/>
          <w:lang w:val="ru-RU"/>
        </w:rPr>
        <w:t xml:space="preserve"> и летальность</w:t>
      </w:r>
      <w:r w:rsidR="00264197" w:rsidRPr="004921D9"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2E2670" w:rsidRDefault="00E77491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273675" cy="3157855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F5" w:rsidRDefault="00B657F5" w:rsidP="00FB4AB4">
      <w:pPr>
        <w:spacing w:line="276" w:lineRule="auto"/>
        <w:ind w:left="-851" w:firstLine="567"/>
        <w:jc w:val="center"/>
        <w:rPr>
          <w:rFonts w:cs="Times New Roman"/>
          <w:lang w:val="ru-RU"/>
        </w:rPr>
      </w:pPr>
    </w:p>
    <w:p w:rsidR="00FB4AB4" w:rsidRDefault="00FB4AB4" w:rsidP="00FB4AB4">
      <w:pPr>
        <w:spacing w:line="276" w:lineRule="auto"/>
        <w:ind w:left="-851" w:firstLine="567"/>
        <w:jc w:val="center"/>
        <w:rPr>
          <w:rFonts w:cs="Times New Roman"/>
        </w:rPr>
      </w:pPr>
      <w:r>
        <w:rPr>
          <w:rFonts w:cs="Times New Roman"/>
        </w:rPr>
        <w:t xml:space="preserve">Рис. </w:t>
      </w:r>
      <w:r w:rsidR="002E2670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Темп прироста числа зарегистрированных случаев</w:t>
      </w:r>
      <w:r>
        <w:rPr>
          <w:rFonts w:cs="Times New Roman"/>
          <w:lang w:val="ru-RU"/>
        </w:rPr>
        <w:t xml:space="preserve"> в КНР</w:t>
      </w:r>
    </w:p>
    <w:p w:rsidR="00264197" w:rsidRDefault="00264197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B657F5" w:rsidRPr="00B657F5" w:rsidRDefault="00B657F5" w:rsidP="00264197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F280C" w:rsidRPr="00F955FD" w:rsidRDefault="005F280C" w:rsidP="005F280C">
      <w:pPr>
        <w:ind w:firstLine="708"/>
        <w:rPr>
          <w:rFonts w:cs="Times New Roman"/>
          <w:b/>
          <w:lang w:val="ru-RU"/>
        </w:rPr>
      </w:pPr>
      <w:r w:rsidRPr="00F955FD">
        <w:rPr>
          <w:rFonts w:cs="Times New Roman"/>
          <w:b/>
        </w:rPr>
        <w:t xml:space="preserve">Количество подтверждённых случаев заболевания, вызванного новым коронавирусом в </w:t>
      </w:r>
      <w:r w:rsidRPr="00F955FD">
        <w:rPr>
          <w:rFonts w:cs="Times New Roman"/>
          <w:b/>
          <w:lang w:val="ru-RU"/>
        </w:rPr>
        <w:t xml:space="preserve">отдельных регионах </w:t>
      </w:r>
      <w:r w:rsidRPr="00F955FD">
        <w:rPr>
          <w:rFonts w:cs="Times New Roman"/>
          <w:b/>
        </w:rPr>
        <w:t>КНР</w:t>
      </w:r>
      <w:r w:rsidRPr="00F955FD">
        <w:rPr>
          <w:rFonts w:cs="Times New Roman"/>
          <w:b/>
          <w:lang w:val="ru-RU"/>
        </w:rPr>
        <w:t xml:space="preserve"> (по данным Университета Джонса Хопкинса на 8.00 по мск от </w:t>
      </w:r>
      <w:r w:rsidR="005C64E6">
        <w:rPr>
          <w:rFonts w:cs="Times New Roman"/>
          <w:b/>
          <w:lang w:val="ru-RU"/>
        </w:rPr>
        <w:t>0</w:t>
      </w:r>
      <w:r w:rsidR="00B657F5">
        <w:rPr>
          <w:rFonts w:cs="Times New Roman"/>
          <w:b/>
          <w:lang w:val="ru-RU"/>
        </w:rPr>
        <w:t>2</w:t>
      </w:r>
      <w:r w:rsidRPr="00F955FD">
        <w:rPr>
          <w:rFonts w:cs="Times New Roman"/>
          <w:b/>
          <w:lang w:val="ru-RU"/>
        </w:rPr>
        <w:t>.0</w:t>
      </w:r>
      <w:r w:rsidR="005C64E6">
        <w:rPr>
          <w:rFonts w:cs="Times New Roman"/>
          <w:b/>
          <w:lang w:val="ru-RU"/>
        </w:rPr>
        <w:t>3</w:t>
      </w:r>
      <w:r w:rsidRPr="00F955FD">
        <w:rPr>
          <w:rFonts w:cs="Times New Roman"/>
          <w:b/>
          <w:lang w:val="ru-RU"/>
        </w:rPr>
        <w:t>.20)</w:t>
      </w:r>
    </w:p>
    <w:p w:rsidR="005F280C" w:rsidRPr="004921D9" w:rsidRDefault="005F280C" w:rsidP="005F280C">
      <w:pPr>
        <w:spacing w:line="276" w:lineRule="auto"/>
        <w:jc w:val="center"/>
        <w:rPr>
          <w:rFonts w:cs="Times New Roman"/>
          <w:b/>
        </w:rPr>
      </w:pPr>
    </w:p>
    <w:tbl>
      <w:tblPr>
        <w:tblStyle w:val="a3"/>
        <w:tblW w:w="9160" w:type="dxa"/>
        <w:tblLook w:val="04A0"/>
      </w:tblPr>
      <w:tblGrid>
        <w:gridCol w:w="4202"/>
        <w:gridCol w:w="1307"/>
        <w:gridCol w:w="1197"/>
        <w:gridCol w:w="1246"/>
        <w:gridCol w:w="1208"/>
      </w:tblGrid>
      <w:tr w:rsidR="005F280C" w:rsidRPr="00517B1C" w:rsidTr="00F650EC">
        <w:trPr>
          <w:trHeight w:val="1260"/>
        </w:trPr>
        <w:tc>
          <w:tcPr>
            <w:tcW w:w="4202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1307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197" w:type="dxa"/>
            <w:noWrap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за последние сутки</w:t>
            </w:r>
          </w:p>
        </w:tc>
        <w:tc>
          <w:tcPr>
            <w:tcW w:w="1246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Летальных исходов</w:t>
            </w:r>
          </w:p>
        </w:tc>
        <w:tc>
          <w:tcPr>
            <w:tcW w:w="1208" w:type="dxa"/>
            <w:vAlign w:val="center"/>
            <w:hideMark/>
          </w:tcPr>
          <w:p w:rsidR="005F280C" w:rsidRPr="00517B1C" w:rsidRDefault="005F280C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Прирост летальных за сутки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Хубэй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67103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2803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Гуандун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Хэнань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1272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Чжэцзян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1206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Хунань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Аньхой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Цзянси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Шаньдун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Цзянсу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Чунцин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Сычуань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Хэйлундзян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Пекин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Шанхай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Хэбей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Фуцзянь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Гуанси-Чжуанский автономный район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Шэньси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Юннань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Хайнань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Гуйчжоу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Тяньцзинь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Шаньси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Ляонин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Гонконг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Гирин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Ганьсу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Синьцзян-Уйгурский автономный район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Внутренняя Монголия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Нинся-Хуэйский автономный район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Тайвань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Цинхай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Макао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024BD2">
        <w:trPr>
          <w:trHeight w:val="324"/>
        </w:trPr>
        <w:tc>
          <w:tcPr>
            <w:tcW w:w="4202" w:type="dxa"/>
            <w:noWrap/>
            <w:vAlign w:val="bottom"/>
            <w:hideMark/>
          </w:tcPr>
          <w:p w:rsidR="007F5E09" w:rsidRDefault="007F5E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Тибет</w:t>
            </w:r>
          </w:p>
        </w:tc>
        <w:tc>
          <w:tcPr>
            <w:tcW w:w="1307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noWrap/>
            <w:hideMark/>
          </w:tcPr>
          <w:p w:rsidR="007F5E09" w:rsidRDefault="007F5E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7F5E09" w:rsidRPr="00517B1C" w:rsidTr="00C75931">
        <w:trPr>
          <w:trHeight w:val="312"/>
        </w:trPr>
        <w:tc>
          <w:tcPr>
            <w:tcW w:w="4202" w:type="dxa"/>
            <w:noWrap/>
            <w:vAlign w:val="center"/>
            <w:hideMark/>
          </w:tcPr>
          <w:p w:rsidR="007F5E09" w:rsidRPr="00517B1C" w:rsidRDefault="007F5E09" w:rsidP="00F650E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17B1C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0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80174</w:t>
            </w:r>
          </w:p>
        </w:tc>
        <w:tc>
          <w:tcPr>
            <w:tcW w:w="1197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246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2915</w:t>
            </w:r>
          </w:p>
        </w:tc>
        <w:tc>
          <w:tcPr>
            <w:tcW w:w="1208" w:type="dxa"/>
            <w:noWrap/>
            <w:vAlign w:val="bottom"/>
            <w:hideMark/>
          </w:tcPr>
          <w:p w:rsidR="007F5E09" w:rsidRDefault="007F5E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5F280C" w:rsidRPr="004921D9" w:rsidRDefault="005F280C" w:rsidP="005F280C">
      <w:pPr>
        <w:spacing w:line="276" w:lineRule="auto"/>
        <w:rPr>
          <w:rFonts w:cs="Times New Roman"/>
          <w:b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264197" w:rsidRDefault="00264197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B14EC6" w:rsidRDefault="00B14EC6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264197" w:rsidRPr="003C111B" w:rsidRDefault="00264197" w:rsidP="0026419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 w:rsidRPr="003C111B">
        <w:rPr>
          <w:rFonts w:cs="Times New Roman"/>
          <w:b/>
          <w:lang w:val="ru-RU"/>
        </w:rPr>
        <w:t>Информация из ежедневных отчетов ВОЗ</w:t>
      </w:r>
    </w:p>
    <w:p w:rsidR="00EA0A01" w:rsidRDefault="00EA0A01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EA0A01" w:rsidRDefault="00B657F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>В ежедневном отчёте от 01.03.20 ВОЗ указывает на рост числа зарегистрированных случаев в 28.02 и 29.02 в провинции Хубэй; организация следит за ситуацией в Хубэе и выясняет причины  подъёма.</w:t>
      </w:r>
    </w:p>
    <w:p w:rsidR="00B657F5" w:rsidRDefault="00B657F5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Также ВОЗ опубликовала обновлённые рекомендации по управлению международным трафиком от 29.01.20. В них обращается внимание, что ограничения на въезд с поражённых территорий могут быть оправданными лишь в первые несколько дней, с целью  обеспечить готовность надзорных органов. Последующие ограничения скорее будут неэффективными и приведут к отрицательным социальным и экономическим последствиям. </w:t>
      </w:r>
    </w:p>
    <w:p w:rsidR="00EA0A01" w:rsidRDefault="00EA0A01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B657F5" w:rsidRDefault="00B657F5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B657F5" w:rsidRDefault="00B657F5" w:rsidP="00EA0A01">
      <w:pPr>
        <w:pStyle w:val="a6"/>
        <w:spacing w:line="276" w:lineRule="auto"/>
        <w:ind w:left="0"/>
        <w:rPr>
          <w:rFonts w:cs="Times New Roman"/>
          <w:lang w:val="ru-RU"/>
        </w:rPr>
      </w:pPr>
    </w:p>
    <w:p w:rsidR="002528A5" w:rsidRDefault="002528A5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  <w:r w:rsidRPr="004921D9">
        <w:rPr>
          <w:rFonts w:cs="Times New Roman"/>
          <w:b/>
        </w:rPr>
        <w:t xml:space="preserve">Эпидемиологические и клинические характеристики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rPr>
          <w:rFonts w:cs="Times New Roman"/>
          <w:b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Возбудитель – </w:t>
      </w:r>
      <w:r w:rsidRPr="004921D9">
        <w:rPr>
          <w:rFonts w:cs="Times New Roman"/>
        </w:rPr>
        <w:t xml:space="preserve">новый коронавирус </w:t>
      </w:r>
      <w:r w:rsidRPr="004921D9">
        <w:rPr>
          <w:rFonts w:cs="Times New Roman"/>
          <w:b/>
        </w:rPr>
        <w:t xml:space="preserve">SARS-CoV-2 </w:t>
      </w:r>
      <w:r w:rsidRPr="004921D9">
        <w:rPr>
          <w:rFonts w:cs="Times New Roman"/>
        </w:rPr>
        <w:t>(название присвоено Международным комитетом по таксономии вирусов 11.02.20).</w:t>
      </w:r>
      <w:r w:rsidR="00593916">
        <w:rPr>
          <w:rFonts w:cs="Times New Roman"/>
          <w:lang w:val="ru-RU"/>
        </w:rPr>
        <w:t xml:space="preserve"> </w:t>
      </w:r>
      <w:r w:rsidR="00593916">
        <w:rPr>
          <w:rFonts w:cs="Times New Roman"/>
        </w:rPr>
        <w:t>Природный резервуар</w:t>
      </w:r>
      <w:r w:rsidRPr="004921D9">
        <w:rPr>
          <w:rFonts w:cs="Times New Roman"/>
          <w:b/>
        </w:rPr>
        <w:t xml:space="preserve"> </w:t>
      </w:r>
      <w:r w:rsidRPr="004921D9">
        <w:rPr>
          <w:rFonts w:cs="Times New Roman"/>
        </w:rPr>
        <w:t>неизвестен; вероятно, дикие животные (предполагаются летучие мыши).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</w:p>
    <w:p w:rsidR="00B14EC6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  <w:r w:rsidRPr="004921D9">
        <w:rPr>
          <w:rFonts w:cs="Times New Roman"/>
          <w:b/>
        </w:rPr>
        <w:t xml:space="preserve">Источник инфекции -  </w:t>
      </w:r>
      <w:r w:rsidRPr="004921D9">
        <w:rPr>
          <w:rFonts w:cs="Times New Roman"/>
        </w:rPr>
        <w:t>больной человек</w:t>
      </w:r>
      <w:r w:rsidR="00513EEE">
        <w:rPr>
          <w:rFonts w:cs="Times New Roman"/>
          <w:lang w:val="ru-RU"/>
        </w:rPr>
        <w:t>.</w:t>
      </w:r>
    </w:p>
    <w:p w:rsidR="00513EEE" w:rsidRPr="00513EEE" w:rsidRDefault="00513EEE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 xml:space="preserve">Механизмы, пути и факторы передачи – </w:t>
      </w:r>
      <w:r w:rsidRPr="004921D9">
        <w:rPr>
          <w:rFonts w:cs="Times New Roman"/>
        </w:rPr>
        <w:t>основной механизм – аспирационный (воздушно-капельный или воздушно-пылевой путь передачи).</w:t>
      </w:r>
    </w:p>
    <w:p w:rsidR="00B14EC6" w:rsidRPr="004921D9" w:rsidRDefault="00B14EC6" w:rsidP="00513EEE">
      <w:pPr>
        <w:numPr>
          <w:ilvl w:val="0"/>
          <w:numId w:val="7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Реализуется несколько механизмов передачи: аэрогенный механизм (воздушно-капельный, воздушно-пылевой пути передачи); фекально-оральный механизм; контактный механизм передачи. Существует потенциальный риск передачи инфекции коронавируса нового типа от матери к ребенку.</w:t>
      </w:r>
    </w:p>
    <w:p w:rsidR="00513EEE" w:rsidRPr="00513EEE" w:rsidRDefault="00B14EC6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>Положительные результаты на новый коронавирус получены при ПЦР-исследовании фекалий больных, образцов с дверной ручки дома заболевшего</w:t>
      </w:r>
      <w:r w:rsidR="00513EEE" w:rsidRPr="00513EEE">
        <w:rPr>
          <w:rFonts w:cs="Times New Roman"/>
          <w:lang w:val="ru-RU"/>
        </w:rPr>
        <w:t>,</w:t>
      </w:r>
      <w:r w:rsidRPr="00513EEE">
        <w:rPr>
          <w:rFonts w:cs="Times New Roman"/>
        </w:rPr>
        <w:t xml:space="preserve"> также сообщается, что вирусом можно заразиться через клавиатуру или мобильные телефоны. Вирус способен сохранять жизнеспособность на поверхностях в течение нескольких часов, а при температуре 20</w:t>
      </w:r>
      <w:r w:rsidRPr="00513EEE">
        <w:rPr>
          <w:rFonts w:cs="Times New Roman"/>
          <w:vertAlign w:val="superscript"/>
        </w:rPr>
        <w:t>0</w:t>
      </w:r>
      <w:r w:rsidRPr="00513EEE">
        <w:rPr>
          <w:rFonts w:cs="Times New Roman"/>
        </w:rPr>
        <w:t>С и влажности 40-50% до 5 дней (материалы пресс-конференции правительства провинции Хубей от 03.02.20).</w:t>
      </w:r>
    </w:p>
    <w:p w:rsidR="00513EEE" w:rsidRPr="00513EEE" w:rsidRDefault="00513EEE" w:rsidP="00513EEE">
      <w:pPr>
        <w:numPr>
          <w:ilvl w:val="0"/>
          <w:numId w:val="2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513EEE">
        <w:rPr>
          <w:rFonts w:cs="Times New Roman"/>
        </w:rPr>
        <w:t xml:space="preserve">По данным </w:t>
      </w:r>
      <w:r w:rsidRPr="00513EEE">
        <w:rPr>
          <w:rFonts w:cs="Times New Roman"/>
          <w:lang w:val="ru-RU"/>
        </w:rPr>
        <w:t>Государственной Комиссии здравоохранения</w:t>
      </w:r>
      <w:r>
        <w:rPr>
          <w:rFonts w:cs="Times New Roman"/>
          <w:lang w:val="ru-RU"/>
        </w:rPr>
        <w:t xml:space="preserve"> КНР</w:t>
      </w:r>
      <w:r w:rsidRPr="00513EEE">
        <w:rPr>
          <w:rFonts w:cs="Times New Roman"/>
        </w:rPr>
        <w:t xml:space="preserve"> более 83% массовых заражений коронавирусом происходят в семьях заболевших, остальные - в медицинских учреждениях, службах питания, супермаркетах и торговых центрах, предприятиях, транспортных средствах, домах престарелых и школах.</w:t>
      </w:r>
    </w:p>
    <w:p w:rsidR="00513EEE" w:rsidRPr="00472D84" w:rsidRDefault="00513EEE" w:rsidP="00513EEE">
      <w:pPr>
        <w:adjustRightInd w:val="0"/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adjustRightInd w:val="0"/>
        <w:spacing w:before="18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 xml:space="preserve">Инкубационный период 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jc w:val="both"/>
        <w:rPr>
          <w:rFonts w:cs="Times New Roman"/>
        </w:rPr>
      </w:pPr>
      <w:r w:rsidRPr="004921D9">
        <w:rPr>
          <w:rFonts w:cs="Times New Roman"/>
        </w:rPr>
        <w:t>Сообщалось о сроках инкубационного периода от 1 до 17 дней</w:t>
      </w:r>
      <w:r w:rsidR="00831787">
        <w:rPr>
          <w:rFonts w:cs="Times New Roman"/>
          <w:lang w:val="ru-RU"/>
        </w:rPr>
        <w:t xml:space="preserve"> (24 в одном случае наблюдения)</w:t>
      </w:r>
      <w:r w:rsidRPr="004921D9">
        <w:rPr>
          <w:rFonts w:cs="Times New Roman"/>
        </w:rPr>
        <w:t xml:space="preserve">. Не исключена возможность заражения от больного в инкубационном периоде. </w:t>
      </w:r>
      <w:r w:rsidRPr="005977DE">
        <w:rPr>
          <w:rFonts w:cs="Times New Roman"/>
          <w:lang w:val="ru-RU"/>
        </w:rPr>
        <w:t>В настоящий момент</w:t>
      </w:r>
      <w:r w:rsidRPr="005977DE">
        <w:rPr>
          <w:rFonts w:cs="Times New Roman"/>
        </w:rPr>
        <w:t xml:space="preserve"> ВОЗ рассматривает</w:t>
      </w:r>
      <w:r w:rsidRPr="005977DE">
        <w:rPr>
          <w:rFonts w:cs="Times New Roman"/>
          <w:lang w:val="ru-RU"/>
        </w:rPr>
        <w:t xml:space="preserve"> сроки инкубационного периода</w:t>
      </w:r>
      <w:r w:rsidRPr="005977DE">
        <w:rPr>
          <w:rFonts w:cs="Times New Roman"/>
        </w:rPr>
        <w:t xml:space="preserve"> в рамках от 1 до 14 дней.</w:t>
      </w:r>
    </w:p>
    <w:p w:rsidR="00B14EC6" w:rsidRPr="004921D9" w:rsidRDefault="00B14EC6" w:rsidP="00B14EC6">
      <w:pPr>
        <w:spacing w:line="276" w:lineRule="auto"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Клиническая картина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jc w:val="both"/>
        <w:rPr>
          <w:rFonts w:cs="Times New Roman"/>
        </w:rPr>
      </w:pPr>
      <w:r w:rsidRPr="003244BA">
        <w:rPr>
          <w:rFonts w:cs="Times New Roman"/>
        </w:rPr>
        <w:t>Ведущие симптомы: (по анализу данных научной литературы) повышение температуры тела (чаще 38-39° С) в &gt; 90 % случаев; кашель (сухой или с небольшим количеством мокроты) в 80 % случаев; ощущение сдавленности в грудной клетке в &gt; 20 % случаев; одышка в 15 % случаях; миалгия, головная боль.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Сообщается о регистрации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A275A2">
        <w:rPr>
          <w:rFonts w:cs="Times New Roman"/>
        </w:rPr>
        <w:t xml:space="preserve">Средний срок </w:t>
      </w:r>
      <w:r w:rsidRPr="00A275A2">
        <w:rPr>
          <w:rFonts w:cs="Times New Roman"/>
          <w:lang w:val="ru-RU"/>
        </w:rPr>
        <w:t xml:space="preserve">до </w:t>
      </w:r>
      <w:r w:rsidRPr="00A275A2">
        <w:rPr>
          <w:rFonts w:cs="Times New Roman"/>
        </w:rPr>
        <w:t>госпитализации -</w:t>
      </w:r>
      <w:r w:rsidRPr="00A275A2">
        <w:rPr>
          <w:rFonts w:cs="Times New Roman"/>
          <w:lang w:val="ru-RU"/>
        </w:rPr>
        <w:t xml:space="preserve"> </w:t>
      </w:r>
      <w:r w:rsidRPr="00A275A2">
        <w:rPr>
          <w:rFonts w:cs="Times New Roman"/>
        </w:rPr>
        <w:t>5.8 дней (по данным ВОЗ).</w:t>
      </w:r>
      <w:r w:rsidRPr="00A275A2">
        <w:rPr>
          <w:rFonts w:cs="Times New Roman"/>
          <w:lang w:val="ru-RU"/>
        </w:rPr>
        <w:t xml:space="preserve"> Также</w:t>
      </w:r>
      <w:r w:rsidRPr="00B86D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 данным ВОЗ </w:t>
      </w:r>
      <w:r w:rsidRPr="00B86DBA">
        <w:rPr>
          <w:rFonts w:cs="Times New Roman"/>
          <w:lang w:val="ru-RU"/>
        </w:rPr>
        <w:t>время выздоровления для случаев с лёгким течением  составляет около 2 недель, для случаев с тяжёлым течением  - от 3 до 6 недель.</w:t>
      </w:r>
    </w:p>
    <w:p w:rsidR="00B14EC6" w:rsidRPr="003244BA" w:rsidRDefault="00B14EC6" w:rsidP="00B14EC6">
      <w:pPr>
        <w:pStyle w:val="a6"/>
        <w:numPr>
          <w:ilvl w:val="0"/>
          <w:numId w:val="9"/>
        </w:numPr>
        <w:spacing w:line="276" w:lineRule="auto"/>
        <w:ind w:left="0" w:firstLine="0"/>
        <w:rPr>
          <w:rFonts w:cs="Times New Roman"/>
        </w:rPr>
      </w:pPr>
      <w:r w:rsidRPr="003244BA">
        <w:rPr>
          <w:rFonts w:cs="Times New Roman"/>
        </w:rPr>
        <w:t xml:space="preserve">Летальные случаи ассоциированы с возрастом пациентов </w:t>
      </w:r>
      <w:r w:rsidRPr="003244BA">
        <w:rPr>
          <w:rFonts w:cs="Times New Roman"/>
          <w:b/>
        </w:rPr>
        <w:t>&gt;</w:t>
      </w:r>
      <w:r w:rsidRPr="003244BA">
        <w:rPr>
          <w:rFonts w:cs="Times New Roman"/>
        </w:rPr>
        <w:t>60 лет, как правило, при тяжелой сопутствующей патологии.</w:t>
      </w:r>
      <w:r w:rsidRPr="003244BA">
        <w:rPr>
          <w:rFonts w:cs="Times New Roman"/>
          <w:lang w:val="ru-RU"/>
        </w:rPr>
        <w:t xml:space="preserve"> </w:t>
      </w:r>
      <w:r w:rsidRPr="003244BA">
        <w:rPr>
          <w:rFonts w:cs="Times New Roman"/>
        </w:rPr>
        <w:t>Доля больных с тяжелым клиническим течением составляет 14-20%.</w:t>
      </w:r>
      <w:r w:rsidRPr="003244B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У детей заболевание протекает в более лёгкой форме. </w:t>
      </w:r>
      <w:r w:rsidRPr="003244BA">
        <w:rPr>
          <w:rFonts w:cs="Times New Roman"/>
          <w:lang w:val="ru-RU"/>
        </w:rPr>
        <w:t xml:space="preserve">В отчёте ВОЗ от 19.02.20 указано, что ВОЗ взаимодействует с большой сетью исследователей, занимающихся статистическим и математическим моделированием. По их оценке истинная летальность </w:t>
      </w:r>
      <w:r w:rsidRPr="003244BA">
        <w:rPr>
          <w:rFonts w:cs="Times New Roman"/>
          <w:lang w:val="en-US"/>
        </w:rPr>
        <w:t>COVID</w:t>
      </w:r>
      <w:r w:rsidRPr="003244BA">
        <w:rPr>
          <w:rFonts w:cs="Times New Roman"/>
          <w:lang w:val="ru-RU"/>
        </w:rPr>
        <w:t xml:space="preserve">-19 составляет 0,3-1%, однако без серологических исследований населения говорить о более точных оценках рано. </w:t>
      </w:r>
    </w:p>
    <w:p w:rsidR="00B14EC6" w:rsidRPr="00831787" w:rsidRDefault="00B14EC6" w:rsidP="00B14EC6">
      <w:pPr>
        <w:pStyle w:val="a6"/>
        <w:numPr>
          <w:ilvl w:val="0"/>
          <w:numId w:val="9"/>
        </w:numPr>
        <w:shd w:val="clear" w:color="auto" w:fill="FFFFFF"/>
        <w:spacing w:before="180" w:line="276" w:lineRule="auto"/>
        <w:ind w:left="0" w:firstLine="0"/>
        <w:jc w:val="both"/>
        <w:rPr>
          <w:rFonts w:cs="Times New Roman"/>
          <w:b/>
        </w:rPr>
      </w:pPr>
      <w:r w:rsidRPr="00831787">
        <w:rPr>
          <w:rFonts w:cs="Times New Roman"/>
          <w:lang w:val="ru-RU"/>
        </w:rPr>
        <w:t xml:space="preserve">В КНР зафиксированы случаи, когда у </w:t>
      </w:r>
      <w:r w:rsidR="00831787" w:rsidRPr="00831787">
        <w:rPr>
          <w:rFonts w:cs="Times New Roman"/>
          <w:lang w:val="ru-RU"/>
        </w:rPr>
        <w:t xml:space="preserve">выписанных </w:t>
      </w:r>
      <w:r w:rsidRPr="00831787">
        <w:rPr>
          <w:rFonts w:cs="Times New Roman"/>
          <w:lang w:val="ru-RU"/>
        </w:rPr>
        <w:t xml:space="preserve">пациентов с отрицательными результатами теста на коронавирус, впоследствии тест снова показывал положительный результат. Это объясняется несовершенством тестов, возможными ошибками лаборантов и особенностями организма конкретных пациентов. При этом нельзя точно сказать, идет ли речь о рецидиве заболевания или реинфекции.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  <w:b/>
        </w:rPr>
        <w:t>Лабораторная диагностика</w:t>
      </w:r>
      <w:r w:rsidRPr="004921D9">
        <w:rPr>
          <w:rFonts w:cs="Times New Roman"/>
        </w:rPr>
        <w:t xml:space="preserve"> </w:t>
      </w:r>
    </w:p>
    <w:p w:rsidR="007759BE" w:rsidRPr="007759BE" w:rsidRDefault="00831787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831787">
        <w:rPr>
          <w:rFonts w:cs="Times New Roman"/>
        </w:rPr>
        <w:t xml:space="preserve">В настоящее время имеется информация о </w:t>
      </w:r>
      <w:r w:rsidR="007759BE">
        <w:rPr>
          <w:rFonts w:cs="Times New Roman"/>
          <w:lang w:val="ru-RU"/>
        </w:rPr>
        <w:t xml:space="preserve">разработке </w:t>
      </w:r>
      <w:r w:rsidRPr="00831787">
        <w:rPr>
          <w:rFonts w:cs="Times New Roman"/>
        </w:rPr>
        <w:t>тест-систем для выявления РНК вируса 2019-nCoV методом ПЦР</w:t>
      </w:r>
      <w:r w:rsidR="007759BE">
        <w:rPr>
          <w:rFonts w:cs="Times New Roman"/>
          <w:lang w:val="ru-RU"/>
        </w:rPr>
        <w:t xml:space="preserve"> в следующих организациях:</w:t>
      </w:r>
    </w:p>
    <w:p w:rsidR="007759BE" w:rsidRPr="007759BE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1) </w:t>
      </w:r>
      <w:r w:rsidR="007759BE" w:rsidRPr="00831787">
        <w:rPr>
          <w:rFonts w:cs="Times New Roman"/>
        </w:rPr>
        <w:t>ГНЦ ВБ «Вектор</w:t>
      </w:r>
      <w:r w:rsidR="00C16001">
        <w:rPr>
          <w:rFonts w:cs="Times New Roman"/>
          <w:lang w:val="ru-RU"/>
        </w:rPr>
        <w:t>» Роспотребнадзора</w:t>
      </w:r>
      <w:r w:rsidR="007759BE">
        <w:rPr>
          <w:rFonts w:cs="Times New Roman"/>
          <w:lang w:val="ru-RU"/>
        </w:rPr>
        <w:t xml:space="preserve"> (Россия)</w:t>
      </w:r>
    </w:p>
    <w:p w:rsidR="007759BE" w:rsidRPr="00831787" w:rsidRDefault="00831787" w:rsidP="007759BE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2) </w:t>
      </w:r>
      <w:r w:rsidR="007759BE">
        <w:rPr>
          <w:rFonts w:cs="Times New Roman"/>
        </w:rPr>
        <w:t>CDC КНР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 xml:space="preserve">3) </w:t>
      </w:r>
      <w:r w:rsidR="007759BE">
        <w:rPr>
          <w:rFonts w:cs="Times New Roman"/>
        </w:rPr>
        <w:t>CDC США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4)</w:t>
      </w:r>
      <w:r w:rsidR="007759BE" w:rsidRPr="007759BE">
        <w:rPr>
          <w:rFonts w:cs="Times New Roman"/>
        </w:rPr>
        <w:t xml:space="preserve"> </w:t>
      </w:r>
      <w:r w:rsidR="007759BE">
        <w:rPr>
          <w:rFonts w:cs="Times New Roman"/>
        </w:rPr>
        <w:t>Университет Гонконга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 xml:space="preserve">5) </w:t>
      </w:r>
      <w:r w:rsidR="007759BE">
        <w:rPr>
          <w:rFonts w:cs="Times New Roman"/>
        </w:rPr>
        <w:t>«Altona Diagnostics»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6) «BGI Group» (КНР)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7) Гонконгский</w:t>
      </w:r>
      <w:r w:rsidR="007759BE">
        <w:rPr>
          <w:rFonts w:cs="Times New Roman"/>
        </w:rPr>
        <w:t xml:space="preserve"> Университет науки и технологий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  <w:lang w:val="ru-RU"/>
        </w:rPr>
      </w:pPr>
      <w:r w:rsidRPr="00831787">
        <w:rPr>
          <w:rFonts w:cs="Times New Roman"/>
        </w:rPr>
        <w:t>8) «Novacyt/Primerdesign» (Великоб</w:t>
      </w:r>
      <w:r w:rsidR="007759BE">
        <w:rPr>
          <w:rFonts w:cs="Times New Roman"/>
        </w:rPr>
        <w:t>ритания/Франция)</w:t>
      </w:r>
    </w:p>
    <w:p w:rsidR="00831787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9) «</w:t>
      </w:r>
      <w:r w:rsidR="007759BE">
        <w:rPr>
          <w:rFonts w:cs="Times New Roman"/>
        </w:rPr>
        <w:t>Thermo Fisher Scientific» (США)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10) «Qiagen» (Германия)</w:t>
      </w:r>
    </w:p>
    <w:p w:rsidR="00831787" w:rsidRPr="00C16001" w:rsidRDefault="007759BE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>
        <w:rPr>
          <w:rFonts w:cs="Times New Roman"/>
        </w:rPr>
        <w:t>11) «Biomeme» (США)</w:t>
      </w:r>
    </w:p>
    <w:p w:rsidR="007759BE" w:rsidRPr="00C16001" w:rsidRDefault="00831787" w:rsidP="00831787">
      <w:pPr>
        <w:spacing w:line="276" w:lineRule="auto"/>
        <w:contextualSpacing/>
        <w:jc w:val="both"/>
        <w:rPr>
          <w:rFonts w:cs="Times New Roman"/>
          <w:lang w:val="en-US"/>
        </w:rPr>
      </w:pPr>
      <w:r w:rsidRPr="00831787">
        <w:rPr>
          <w:rFonts w:cs="Times New Roman"/>
        </w:rPr>
        <w:t>12) «TIB Molbiol» (Германия)</w:t>
      </w:r>
    </w:p>
    <w:p w:rsidR="00831787" w:rsidRPr="007759BE" w:rsidRDefault="007759BE" w:rsidP="00831787">
      <w:pPr>
        <w:spacing w:line="276" w:lineRule="auto"/>
        <w:contextualSpacing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13) </w:t>
      </w:r>
      <w:r>
        <w:rPr>
          <w:rFonts w:cs="Times New Roman"/>
        </w:rPr>
        <w:t>«Amoy Diagnostics» (КНР)</w:t>
      </w:r>
      <w:r w:rsidR="00831787" w:rsidRPr="00831787">
        <w:rPr>
          <w:rFonts w:cs="Times New Roman"/>
        </w:rPr>
        <w:t>.</w:t>
      </w:r>
    </w:p>
    <w:p w:rsidR="00831787" w:rsidRPr="007759BE" w:rsidRDefault="00831787" w:rsidP="00831787">
      <w:pPr>
        <w:spacing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831787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 xml:space="preserve">Согласно сообщению ИА </w:t>
      </w:r>
      <w:r w:rsidRPr="004921D9">
        <w:rPr>
          <w:rFonts w:cs="Times New Roman"/>
          <w:lang w:val="en-US"/>
        </w:rPr>
        <w:t>Sina</w:t>
      </w:r>
      <w:r w:rsidRPr="004921D9">
        <w:rPr>
          <w:rFonts w:cs="Times New Roman"/>
        </w:rPr>
        <w:t xml:space="preserve"> (КНР)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 w:rsidRPr="004921D9">
        <w:rPr>
          <w:rFonts w:cs="Times New Roman"/>
          <w:lang w:val="en-US"/>
        </w:rPr>
        <w:t>Wang</w:t>
      </w:r>
      <w:r w:rsidRPr="004921D9">
        <w:rPr>
          <w:rFonts w:cs="Times New Roman"/>
        </w:rPr>
        <w:t xml:space="preserve"> </w:t>
      </w:r>
      <w:r w:rsidRPr="004921D9">
        <w:rPr>
          <w:rFonts w:cs="Times New Roman"/>
          <w:lang w:val="en-US"/>
        </w:rPr>
        <w:t>Chen</w:t>
      </w:r>
      <w:r w:rsidRPr="004921D9">
        <w:rPr>
          <w:rFonts w:cs="Times New Roman"/>
        </w:rPr>
        <w:t xml:space="preserve"> положительный результат при лабораторном исследовании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  <w:r>
        <w:rPr>
          <w:rFonts w:cs="Times New Roman"/>
          <w:lang w:val="ru-RU"/>
        </w:rPr>
        <w:t xml:space="preserve"> </w:t>
      </w: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</w:p>
    <w:p w:rsidR="00B14EC6" w:rsidRPr="003C111B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Лечение</w:t>
      </w:r>
      <w:r>
        <w:rPr>
          <w:rFonts w:cs="Times New Roman"/>
          <w:b/>
          <w:lang w:val="ru-RU"/>
        </w:rPr>
        <w:t xml:space="preserve"> </w:t>
      </w:r>
    </w:p>
    <w:p w:rsidR="00831787" w:rsidRDefault="00831787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lang w:val="ru-RU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B14EC6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>Изучаются возможности применения противовирусных средств широкого действия, среди которы</w:t>
      </w:r>
      <w:r>
        <w:rPr>
          <w:rFonts w:cs="Times New Roman"/>
        </w:rPr>
        <w:t xml:space="preserve">х </w:t>
      </w:r>
      <w:r>
        <w:rPr>
          <w:rFonts w:cs="Times New Roman"/>
          <w:lang w:val="ru-RU"/>
        </w:rPr>
        <w:t>Р</w:t>
      </w:r>
      <w:r>
        <w:rPr>
          <w:rFonts w:cs="Times New Roman"/>
        </w:rPr>
        <w:t>емдесивир</w:t>
      </w:r>
      <w:r w:rsidRPr="00130798">
        <w:rPr>
          <w:rFonts w:cs="Times New Roman"/>
        </w:rPr>
        <w:t xml:space="preserve">, ингибиторы РНК-полимеразы, </w:t>
      </w:r>
      <w:r>
        <w:rPr>
          <w:rFonts w:cs="Times New Roman"/>
          <w:lang w:val="ru-RU"/>
        </w:rPr>
        <w:t>Л</w:t>
      </w:r>
      <w:r w:rsidRPr="00130798">
        <w:rPr>
          <w:rFonts w:cs="Times New Roman"/>
        </w:rPr>
        <w:t xml:space="preserve">опинавир и </w:t>
      </w:r>
      <w:r>
        <w:rPr>
          <w:rFonts w:cs="Times New Roman"/>
          <w:lang w:val="ru-RU"/>
        </w:rPr>
        <w:t>Р</w:t>
      </w:r>
      <w:r w:rsidRPr="00130798">
        <w:rPr>
          <w:rFonts w:cs="Times New Roman"/>
        </w:rPr>
        <w:t xml:space="preserve">итонавир и </w:t>
      </w:r>
      <w:r>
        <w:rPr>
          <w:rFonts w:cs="Times New Roman"/>
          <w:lang w:val="ru-RU"/>
        </w:rPr>
        <w:t>И</w:t>
      </w:r>
      <w:r w:rsidRPr="00130798">
        <w:rPr>
          <w:rFonts w:cs="Times New Roman"/>
        </w:rPr>
        <w:t>нтерферон</w:t>
      </w:r>
      <w:r>
        <w:rPr>
          <w:rFonts w:cs="Times New Roman"/>
          <w:lang w:val="ru-RU"/>
        </w:rPr>
        <w:t xml:space="preserve"> </w:t>
      </w:r>
      <w:r w:rsidRPr="00130798">
        <w:rPr>
          <w:rFonts w:cs="Times New Roman"/>
        </w:rPr>
        <w:t xml:space="preserve">бета. </w:t>
      </w:r>
    </w:p>
    <w:p w:rsidR="00B14EC6" w:rsidRPr="004921D9" w:rsidRDefault="00B14EC6" w:rsidP="00B14EC6">
      <w:pPr>
        <w:numPr>
          <w:ilvl w:val="0"/>
          <w:numId w:val="8"/>
        </w:numPr>
        <w:shd w:val="clear" w:color="auto" w:fill="FFFFFF"/>
        <w:spacing w:before="18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Министерство</w:t>
      </w:r>
      <w:r w:rsidR="00DD0B57">
        <w:rPr>
          <w:rFonts w:cs="Times New Roman"/>
          <w:lang w:val="ru-RU"/>
        </w:rPr>
        <w:t xml:space="preserve"> здравоохранения </w:t>
      </w:r>
      <w:r w:rsidRPr="004921D9">
        <w:rPr>
          <w:rFonts w:cs="Times New Roman"/>
        </w:rPr>
        <w:t xml:space="preserve"> РФ в качестве этиотропной терапии рекомендовало использовать препараты: рибавирин, рекомбинантный интерферон бета-1b и лопинавир/ритонавир.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cs="Times New Roman"/>
        </w:rPr>
      </w:pPr>
    </w:p>
    <w:p w:rsidR="00B14EC6" w:rsidRPr="004921D9" w:rsidRDefault="00B14EC6" w:rsidP="00B14EC6">
      <w:pPr>
        <w:spacing w:line="276" w:lineRule="auto"/>
        <w:contextualSpacing/>
        <w:rPr>
          <w:rFonts w:cs="Times New Roman"/>
        </w:rPr>
      </w:pPr>
    </w:p>
    <w:p w:rsidR="00B14EC6" w:rsidRPr="004921D9" w:rsidRDefault="00B14EC6" w:rsidP="00B14EC6">
      <w:pPr>
        <w:shd w:val="clear" w:color="auto" w:fill="FFFFFF"/>
        <w:spacing w:before="180" w:line="276" w:lineRule="auto"/>
        <w:contextualSpacing/>
        <w:jc w:val="both"/>
        <w:rPr>
          <w:rFonts w:cs="Times New Roman"/>
          <w:b/>
        </w:rPr>
      </w:pPr>
      <w:r w:rsidRPr="004921D9">
        <w:rPr>
          <w:rFonts w:cs="Times New Roman"/>
          <w:b/>
        </w:rPr>
        <w:t>Медицинское и противоэпидемическое обеспечение г. Ухань и КНР в целом</w:t>
      </w:r>
    </w:p>
    <w:p w:rsidR="00B14EC6" w:rsidRPr="004921D9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cs="Times New Roman"/>
        </w:rPr>
        <w:t>По сообщени</w:t>
      </w:r>
      <w:r>
        <w:rPr>
          <w:rFonts w:cs="Times New Roman"/>
          <w:lang w:val="ru-RU"/>
        </w:rPr>
        <w:t>ям от 15.02.20</w:t>
      </w:r>
      <w:r w:rsidRPr="004921D9">
        <w:rPr>
          <w:rFonts w:cs="Times New Roman"/>
        </w:rPr>
        <w:t xml:space="preserve"> </w:t>
      </w:r>
      <w:r>
        <w:rPr>
          <w:rFonts w:cs="Times New Roman"/>
          <w:lang w:val="ru-RU"/>
        </w:rPr>
        <w:t>б</w:t>
      </w:r>
      <w:r w:rsidRPr="004921D9">
        <w:rPr>
          <w:rFonts w:cs="Times New Roman"/>
        </w:rPr>
        <w:t>олее 25 000 медработников прибыли в провинцию Хубэй из других регионов.</w:t>
      </w:r>
      <w:r>
        <w:rPr>
          <w:rFonts w:cs="Times New Roman"/>
          <w:lang w:val="ru-RU"/>
        </w:rPr>
        <w:t xml:space="preserve"> </w:t>
      </w:r>
    </w:p>
    <w:p w:rsidR="00B14EC6" w:rsidRPr="00130798" w:rsidRDefault="00B14EC6" w:rsidP="00B14EC6">
      <w:pPr>
        <w:numPr>
          <w:ilvl w:val="0"/>
          <w:numId w:val="5"/>
        </w:numPr>
        <w:adjustRightInd w:val="0"/>
        <w:spacing w:line="276" w:lineRule="auto"/>
        <w:ind w:left="0" w:firstLine="0"/>
        <w:contextualSpacing/>
        <w:jc w:val="both"/>
        <w:rPr>
          <w:rFonts w:cs="Times New Roman"/>
        </w:rPr>
      </w:pPr>
      <w:r w:rsidRPr="00130798">
        <w:rPr>
          <w:rFonts w:cs="Times New Roman"/>
        </w:rPr>
        <w:t xml:space="preserve">В г. Ухань </w:t>
      </w:r>
      <w:r>
        <w:rPr>
          <w:rFonts w:cs="Times New Roman"/>
          <w:lang w:val="ru-RU"/>
        </w:rPr>
        <w:t>больных принимают</w:t>
      </w:r>
      <w:r w:rsidRPr="00130798">
        <w:rPr>
          <w:rFonts w:cs="Times New Roman"/>
        </w:rPr>
        <w:t xml:space="preserve"> </w:t>
      </w:r>
      <w:r>
        <w:rPr>
          <w:rFonts w:cs="Times New Roman"/>
          <w:lang w:val="ru-RU"/>
        </w:rPr>
        <w:t>23</w:t>
      </w:r>
      <w:r w:rsidRPr="00130798">
        <w:rPr>
          <w:rFonts w:cs="Times New Roman"/>
        </w:rPr>
        <w:t xml:space="preserve"> госпитал</w:t>
      </w:r>
      <w:r>
        <w:rPr>
          <w:rFonts w:cs="Times New Roman"/>
          <w:lang w:val="ru-RU"/>
        </w:rPr>
        <w:t>я</w:t>
      </w:r>
      <w:r w:rsidRPr="00130798">
        <w:rPr>
          <w:rFonts w:cs="Times New Roman"/>
        </w:rPr>
        <w:t xml:space="preserve">, в 61 клинике ведется приём пациентов с подозрением на </w:t>
      </w:r>
      <w:r w:rsidRPr="00130798">
        <w:rPr>
          <w:rFonts w:cs="Times New Roman"/>
          <w:lang w:val="en-US"/>
        </w:rPr>
        <w:t>COVID</w:t>
      </w:r>
      <w:r w:rsidRPr="00130798">
        <w:rPr>
          <w:rFonts w:cs="Times New Roman"/>
        </w:rPr>
        <w:t xml:space="preserve">-19. В г. Ухань переоборудованы во временные госпитали </w:t>
      </w:r>
      <w:r w:rsidR="00584753">
        <w:rPr>
          <w:rFonts w:cs="Times New Roman"/>
          <w:lang w:val="ru-RU"/>
        </w:rPr>
        <w:t>несколько общественных зданий</w:t>
      </w:r>
      <w:r w:rsidRPr="00130798">
        <w:rPr>
          <w:rFonts w:cs="Times New Roman"/>
        </w:rPr>
        <w:t xml:space="preserve">.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>Ограничительные мероприятия и ответные меры, введённые в КНР</w:t>
      </w:r>
    </w:p>
    <w:p w:rsidR="00B14EC6" w:rsidRPr="00A275A2" w:rsidRDefault="00B14EC6" w:rsidP="00A275A2">
      <w:pPr>
        <w:pStyle w:val="a6"/>
        <w:numPr>
          <w:ilvl w:val="0"/>
          <w:numId w:val="12"/>
        </w:numPr>
        <w:shd w:val="clear" w:color="auto" w:fill="FFFFFF"/>
        <w:spacing w:after="300" w:line="276" w:lineRule="auto"/>
        <w:ind w:left="0" w:firstLine="0"/>
        <w:jc w:val="both"/>
        <w:rPr>
          <w:rFonts w:eastAsia="Times New Roman" w:cs="Times New Roman"/>
        </w:rPr>
      </w:pPr>
      <w:r w:rsidRPr="00A275A2">
        <w:rPr>
          <w:rFonts w:eastAsia="Times New Roman" w:cs="Times New Roman"/>
        </w:rPr>
        <w:t xml:space="preserve">В г. Ухань остановлено авиа- и железнодорожное сообщение с 23.01.20 г. Заблокированы автомобильные дороги, введен запрет на паромное сообщение по реке Янцзы. </w:t>
      </w:r>
      <w:r w:rsidRPr="00A275A2">
        <w:rPr>
          <w:rFonts w:eastAsia="Times New Roman" w:cs="Times New Roman"/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A275A2">
        <w:rPr>
          <w:rFonts w:eastAsia="Times New Roman" w:cs="Times New Roman"/>
        </w:rPr>
        <w:t xml:space="preserve">В г. Ухань введён запрет на движение автотранспорта, кроме транспорта государственных служб. </w:t>
      </w:r>
      <w:r w:rsidRPr="00A275A2">
        <w:rPr>
          <w:rFonts w:eastAsia="Times New Roman" w:cs="Times New Roman"/>
          <w:shd w:val="clear" w:color="auto" w:fill="FFFFFF"/>
        </w:rPr>
        <w:t xml:space="preserve"> </w:t>
      </w:r>
      <w:r w:rsidR="00A275A2" w:rsidRPr="00A275A2">
        <w:rPr>
          <w:rFonts w:eastAsia="Times New Roman" w:cs="Times New Roman"/>
          <w:shd w:val="clear" w:color="auto" w:fill="FFFFFF"/>
        </w:rPr>
        <w:t xml:space="preserve">В </w:t>
      </w:r>
      <w:r w:rsidR="00A275A2" w:rsidRPr="00A275A2">
        <w:rPr>
          <w:rFonts w:eastAsia="Times New Roman" w:cs="Times New Roman"/>
          <w:shd w:val="clear" w:color="auto" w:fill="FFFFFF"/>
          <w:lang w:val="ru-RU"/>
        </w:rPr>
        <w:t>нескольких</w:t>
      </w:r>
      <w:r w:rsidRPr="00A275A2">
        <w:rPr>
          <w:rFonts w:eastAsia="Times New Roman" w:cs="Times New Roman"/>
          <w:shd w:val="clear" w:color="auto" w:fill="FFFFFF"/>
        </w:rPr>
        <w:t xml:space="preserve"> городах провинции Хубэй п</w:t>
      </w:r>
      <w:r w:rsidRPr="00A275A2">
        <w:rPr>
          <w:rFonts w:eastAsia="Times New Roman" w:cs="Times New Roman"/>
        </w:rPr>
        <w:t>рекращено движение общественного транспорта, отменены мероприятия с массовым скоплением людей. По сообщениям straitstimes.com от 24.02.20 власти КНР несколько ослабили карантинные меры, позволив жителям других регионов покинуть г. Ухань. При этом у них должны отсутствовать симптомы заболевания или связь с зарегистрированным случаем. Также разрешено выехать из города лицам, которым требуется медицинская помощь.  В машинах, покидающих город,  должно находиться не более 2 человек. По прибытию в место назначения они обязаны уведомить местные власти и следить за своим состоянием в течение 14 дней.</w:t>
      </w:r>
    </w:p>
    <w:p w:rsidR="00B14EC6" w:rsidRPr="004921D9" w:rsidRDefault="00B14EC6" w:rsidP="00A275A2">
      <w:pPr>
        <w:pStyle w:val="a6"/>
        <w:numPr>
          <w:ilvl w:val="0"/>
          <w:numId w:val="12"/>
        </w:numPr>
        <w:spacing w:line="276" w:lineRule="auto"/>
        <w:ind w:left="0" w:firstLine="0"/>
        <w:jc w:val="both"/>
        <w:rPr>
          <w:rFonts w:cs="Times New Roman"/>
          <w:lang w:val="ru-RU"/>
        </w:rPr>
      </w:pPr>
      <w:r w:rsidRPr="004921D9">
        <w:rPr>
          <w:rFonts w:cs="Times New Roman"/>
          <w:lang w:val="ru-RU"/>
        </w:rPr>
        <w:t xml:space="preserve">По данным South China Morning Post от 16.02.20, администрация провинции Хубэй запретила всем жителям региона, включая селян, выходить из домов. На улицах запрещено движение пешеходов и любого транспорта, кроме машин полиции и экстренных служб. Также запрещены сборы людей в развлекательных целях. За нарушение запрета на выход на улицу граждан могут задержать на срок до десяти суток. </w:t>
      </w:r>
    </w:p>
    <w:p w:rsidR="00B14EC6" w:rsidRPr="004921D9" w:rsidRDefault="00B14EC6" w:rsidP="00A275A2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Пекин закрыл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r w:rsidRPr="005B51FF">
        <w:rPr>
          <w:rFonts w:eastAsia="Times New Roman" w:cs="Times New Roman"/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B51FF">
        <w:rPr>
          <w:rFonts w:eastAsia="Times New Roman" w:cs="Times New Roman"/>
        </w:rPr>
        <w:t>Правительство Гонконга заявило о прекращении работы учреждений культуры и спорта с 28.01.20 г. Ассоциация туристических операторов КНР заморозила продажи туров для граждан Китая.</w:t>
      </w:r>
    </w:p>
    <w:p w:rsidR="00B14EC6" w:rsidRPr="005B51FF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hanging="11"/>
        <w:contextualSpacing/>
        <w:jc w:val="both"/>
        <w:rPr>
          <w:rFonts w:cs="Times New Roman"/>
          <w:lang w:val="ru-RU"/>
        </w:rPr>
      </w:pPr>
      <w:proofErr w:type="gramStart"/>
      <w:r w:rsidRPr="005B51FF">
        <w:rPr>
          <w:rFonts w:cs="Times New Roman"/>
          <w:lang w:val="ru-RU"/>
        </w:rPr>
        <w:t>По данным  РИА Новости от 18.02.20 г., производственные мощности основных промышленных госпредприятий Китая уже работают более чем на 80%. Загрузка производственных мощностей более 20 тысяч главных производственных дочерних компаний государственных предприятий, находящихся под контролем комитета по контролю и управлению государственным имуществом, в настоящее время уже превышает 80%, по словам главы комитета Жэнь Хунбинь.</w:t>
      </w:r>
      <w:proofErr w:type="gramEnd"/>
      <w:r w:rsidRPr="005B51FF">
        <w:rPr>
          <w:rFonts w:cs="Times New Roman"/>
          <w:lang w:val="ru-RU"/>
        </w:rPr>
        <w:t xml:space="preserve"> Однако часть предприятий не работают в основном из-за того, что находятся в регионах с крайне сложной эпидемиологической обстановкой.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Vesti.ru от 14.02.20 введён двухнедельный обязательный карантин для всех приезжающих в Пекин из других регионов. Провести карантин можно двумя способами: либо оставаться дома 14 дней под прицелом видео камеры, либо отправиться в зону коллективного карантина. Это распространяется как на пекинцев, так и на гостей города. К нарушителям будут применяться меры воздействия в соответствие с китайским национальным законодательством.</w:t>
      </w:r>
    </w:p>
    <w:p w:rsidR="00B14EC6" w:rsidRPr="005977DE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По сообщениям СМИ от 15.02.20 в КНР запрещено путешествовать любым общественным транспортом тем, у кого есть температура или кашель. За это предполагается уголовное наказание. За намеренный отказ от карантина и лечения, в результате чего произошло заражение соотечественников, будут казнить. В Китае больной путешественник, который заразил других граждан, как пишут западные СМИ, будет арестован по обвинению в создании угрозы общественной безопасности. Ему может грозить срок заключения от 10 лет до пожизненного. Во время эпидемии будут применять высшую меру наказания к чиновникам, отвечающим за борьбу с вирусом и уличенным в коррупции, а также к производителям и распространителям контрафактных лекарств. Смертная казнь предусмотрена для тех, кто отказывается от карантина и лечения, при этом посещает общественные места и ездит в транспорте. Высшая мера будет применена к пациентам, которые порвут одежду медику или плюнут в него, из-за чего тот заболеет.</w:t>
      </w:r>
    </w:p>
    <w:p w:rsidR="00B14EC6" w:rsidRPr="004921D9" w:rsidRDefault="00B14EC6" w:rsidP="00B14EC6">
      <w:pPr>
        <w:numPr>
          <w:ilvl w:val="0"/>
          <w:numId w:val="6"/>
        </w:numPr>
        <w:shd w:val="clear" w:color="auto" w:fill="FFFFFF"/>
        <w:spacing w:after="300" w:line="276" w:lineRule="auto"/>
        <w:ind w:left="0" w:firstLine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По сообщениям от 24.02.20 в провинциях Юннань и Гуйчжоу снизили уровень опасности с первого (наивысшего) уровня до третьего, а в провинциях Гуандун и Шаньси – с первого до второго. Ранее о снижении уровня опасности заявляли Ганьсу и Ляонин.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  <w:b/>
        </w:rPr>
      </w:pPr>
      <w:r w:rsidRPr="004921D9">
        <w:rPr>
          <w:rFonts w:eastAsia="Times New Roman" w:cs="Times New Roman"/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B14EC6" w:rsidRPr="004921D9" w:rsidRDefault="00B14EC6" w:rsidP="00B14EC6">
      <w:pPr>
        <w:shd w:val="clear" w:color="auto" w:fill="FFFFFF"/>
        <w:spacing w:after="300" w:line="276" w:lineRule="auto"/>
        <w:contextualSpacing/>
        <w:jc w:val="both"/>
        <w:rPr>
          <w:rFonts w:eastAsia="Times New Roman" w:cs="Times New Roman"/>
        </w:rPr>
      </w:pPr>
      <w:r w:rsidRPr="004921D9">
        <w:rPr>
          <w:rFonts w:eastAsia="Times New Roman" w:cs="Times New Roman"/>
        </w:rPr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B14EC6" w:rsidRPr="004921D9" w:rsidRDefault="00B14EC6" w:rsidP="00B14EC6">
      <w:pPr>
        <w:numPr>
          <w:ilvl w:val="0"/>
          <w:numId w:val="2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shd w:val="clear" w:color="auto" w:fill="FFFFFF"/>
        </w:rPr>
      </w:pPr>
      <w:r w:rsidRPr="004921D9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Франция, Италия, Россия</w:t>
      </w:r>
      <w:r>
        <w:rPr>
          <w:rFonts w:cs="Times New Roman"/>
          <w:shd w:val="clear" w:color="auto" w:fill="FFFFFF"/>
          <w:lang w:val="ru-RU"/>
        </w:rPr>
        <w:t xml:space="preserve"> и другие</w:t>
      </w:r>
      <w:r w:rsidRPr="004921D9">
        <w:rPr>
          <w:rFonts w:cs="Times New Roman"/>
          <w:shd w:val="clear" w:color="auto" w:fill="FFFFFF"/>
        </w:rPr>
        <w:t>.</w:t>
      </w:r>
    </w:p>
    <w:p w:rsidR="00B14EC6" w:rsidRPr="004921D9" w:rsidRDefault="00B14EC6" w:rsidP="00B14EC6">
      <w:pPr>
        <w:numPr>
          <w:ilvl w:val="0"/>
          <w:numId w:val="5"/>
        </w:numPr>
        <w:shd w:val="clear" w:color="auto" w:fill="FFFFFF"/>
        <w:spacing w:before="300" w:line="276" w:lineRule="auto"/>
        <w:ind w:left="0" w:firstLine="0"/>
        <w:contextualSpacing/>
        <w:jc w:val="both"/>
        <w:rPr>
          <w:rFonts w:cs="Times New Roman"/>
        </w:rPr>
      </w:pPr>
      <w:r w:rsidRPr="004921D9">
        <w:rPr>
          <w:rFonts w:eastAsia="Times New Roman" w:cs="Times New Roman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B14EC6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B86DBA">
        <w:rPr>
          <w:rFonts w:cs="Times New Roman"/>
        </w:rPr>
        <w:t xml:space="preserve">С 1.02.20 г. Россия остановила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B86DBA">
        <w:rPr>
          <w:rFonts w:cs="Times New Roman"/>
          <w:iCs/>
          <w:lang w:val="ru-RU"/>
        </w:rPr>
        <w:t>Г</w:t>
      </w:r>
      <w:r w:rsidRPr="00B86DBA">
        <w:rPr>
          <w:rFonts w:cs="Times New Roman"/>
          <w:lang w:val="ru-RU"/>
        </w:rPr>
        <w:t xml:space="preserve">ражданам КНР запрещен въезд в РФ с 20.02.20. Соответствующее распоряжение подписал премьер-министр РФ. </w:t>
      </w:r>
      <w:r>
        <w:rPr>
          <w:rFonts w:cs="Times New Roman"/>
          <w:lang w:val="ru-RU"/>
        </w:rPr>
        <w:t>С 01.03.20 Россия ограничивает авиасообщение с Южной Кореей; п</w:t>
      </w:r>
      <w:r w:rsidRPr="00D95B0B">
        <w:rPr>
          <w:rFonts w:cs="Times New Roman"/>
          <w:lang w:val="ru-RU"/>
        </w:rPr>
        <w:t>родолжат летать в эту страну только авиакомпании "Аэрофлот" (регулярные и чартерные рейсы) и "Аврора" (только чартеры). Прибывшие из Южной Кореи пассажиры будут проходить через терминал F московского аэропорта Шереметьево.</w:t>
      </w:r>
      <w:r w:rsidR="00D9614E">
        <w:rPr>
          <w:rFonts w:cs="Times New Roman"/>
          <w:lang w:val="ru-RU"/>
        </w:rPr>
        <w:t xml:space="preserve"> </w:t>
      </w:r>
      <w:r w:rsidR="00D9614E" w:rsidRPr="00D9614E">
        <w:rPr>
          <w:rFonts w:cs="Times New Roman"/>
          <w:lang w:val="ru-RU"/>
        </w:rPr>
        <w:t>Самолеты авиакомпаний «Аэрофлот» и Alitalia, прилетающие из Италии в «Шереметьево», с 1 марта будут обслуживаться только в терминале F</w:t>
      </w:r>
      <w:r w:rsidR="00D9614E">
        <w:rPr>
          <w:rFonts w:cs="Times New Roman"/>
          <w:lang w:val="ru-RU"/>
        </w:rPr>
        <w:t xml:space="preserve">. </w:t>
      </w:r>
      <w:r w:rsidR="00D9614E" w:rsidRPr="00D9614E">
        <w:rPr>
          <w:rFonts w:cs="Times New Roman"/>
          <w:lang w:val="ru-RU"/>
        </w:rPr>
        <w:t>В свою очередь Минтранс в четверг, 27 февраля, объявил о приостановке пассажирского железнодорожного сообщения между Москвой и Ниццей с 4 марта.</w:t>
      </w:r>
      <w:r w:rsidR="0026299B">
        <w:rPr>
          <w:rFonts w:cs="Times New Roman"/>
          <w:lang w:val="ru-RU"/>
        </w:rPr>
        <w:t xml:space="preserve"> С 28.02.20 ограничено авиасообщение с Ираном.</w:t>
      </w:r>
    </w:p>
    <w:p w:rsidR="00B14EC6" w:rsidRPr="00B86DBA" w:rsidRDefault="00E60A03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="00B14EC6" w:rsidRPr="00B86DBA">
        <w:rPr>
          <w:rFonts w:cs="Times New Roman"/>
          <w:lang w:val="ru-RU"/>
        </w:rPr>
        <w:t>ласти Сингапура вв</w:t>
      </w:r>
      <w:r>
        <w:rPr>
          <w:rFonts w:cs="Times New Roman"/>
          <w:lang w:val="ru-RU"/>
        </w:rPr>
        <w:t>ели</w:t>
      </w:r>
      <w:r w:rsidR="00B14EC6" w:rsidRPr="00B86DBA">
        <w:rPr>
          <w:rFonts w:cs="Times New Roman"/>
          <w:lang w:val="ru-RU"/>
        </w:rPr>
        <w:t xml:space="preserve"> новые правила домашнего карантина для возвращающихся из Китая, нарушение которого будет грозить тюремным заключением на срок до шести месяцев, крупным штрафом, а также депортацией для иностранцев. </w:t>
      </w:r>
    </w:p>
    <w:p w:rsidR="00B14EC6" w:rsidRPr="00EA64D4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6847BC">
        <w:rPr>
          <w:rFonts w:cs="Times New Roman"/>
          <w:lang w:val="ru-RU"/>
        </w:rPr>
        <w:t xml:space="preserve">Во Вьетнаме закрыли </w:t>
      </w:r>
      <w:r>
        <w:rPr>
          <w:rFonts w:cs="Times New Roman"/>
          <w:lang w:val="ru-RU"/>
        </w:rPr>
        <w:t xml:space="preserve">с 13.02.20 </w:t>
      </w:r>
      <w:r w:rsidRPr="006847BC">
        <w:rPr>
          <w:rFonts w:cs="Times New Roman"/>
          <w:lang w:val="ru-RU"/>
        </w:rPr>
        <w:t>на карантин коммуну Сон Лой с населением около 10 600 человек, поскольку семь местных жителей заразили</w:t>
      </w:r>
      <w:r>
        <w:rPr>
          <w:rFonts w:cs="Times New Roman"/>
          <w:lang w:val="ru-RU"/>
        </w:rPr>
        <w:t>сь новым коронавирусом</w:t>
      </w:r>
      <w:r w:rsidRPr="006847BC">
        <w:rPr>
          <w:rFonts w:cs="Times New Roman"/>
          <w:lang w:val="ru-RU"/>
        </w:rPr>
        <w:t>.</w:t>
      </w:r>
    </w:p>
    <w:p w:rsidR="00B14EC6" w:rsidRPr="0020235C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EA64D4">
        <w:rPr>
          <w:rFonts w:cs="Times New Roman"/>
          <w:lang w:val="ru-RU"/>
        </w:rPr>
        <w:t xml:space="preserve">Совет министров </w:t>
      </w:r>
      <w:r>
        <w:rPr>
          <w:rFonts w:cs="Times New Roman"/>
          <w:lang w:val="ru-RU"/>
        </w:rPr>
        <w:t xml:space="preserve">Италии </w:t>
      </w:r>
      <w:r w:rsidRPr="00EA64D4">
        <w:rPr>
          <w:rFonts w:cs="Times New Roman"/>
          <w:lang w:val="ru-RU"/>
        </w:rPr>
        <w:t xml:space="preserve">на экстренном заседании 22.02.20 принял декрет о мерах борьбы со вспышкой коронавируса на севере страны. В зонах вспышки будут запрещены въезд и выезд, за исключением определенных исключений, которые будут оцениваться в каждом конкретном случае. В десяти городах закрыли все общественные места и отменили массовые мероприятия, а именно церковные мессы, карнавалы и спортивные соревнования. </w:t>
      </w:r>
      <w:r>
        <w:t>Ограничительные меры касаются городов и коммун</w:t>
      </w:r>
      <w:r>
        <w:rPr>
          <w:lang w:val="ru-RU"/>
        </w:rPr>
        <w:t xml:space="preserve"> </w:t>
      </w:r>
      <w:r w:rsidRPr="0020235C">
        <w:rPr>
          <w:b/>
          <w:lang w:val="ru-RU"/>
        </w:rPr>
        <w:t>Ломбардии</w:t>
      </w:r>
      <w:r>
        <w:rPr>
          <w:lang w:val="ru-RU"/>
        </w:rPr>
        <w:t xml:space="preserve">  - </w:t>
      </w:r>
      <w:r>
        <w:t xml:space="preserve"> Казальпустерленго, Кодоньо, Кастильоне-д'Адда, Фомбьо, Малео, Сомалья, Бертонико, Терранова-дей-Пассерини, Кастелджерундо и Сан-Фьорано</w:t>
      </w:r>
      <w:r>
        <w:rPr>
          <w:lang w:val="ru-RU"/>
        </w:rPr>
        <w:t>, Лоди</w:t>
      </w:r>
      <w:r>
        <w:t>.</w:t>
      </w:r>
      <w:r w:rsidRPr="00EA64D4">
        <w:rPr>
          <w:lang w:val="ru-RU"/>
        </w:rPr>
        <w:t xml:space="preserve"> </w:t>
      </w:r>
      <w:r>
        <w:t>Региональные поезда будут следовать без остановок в городах, где находятся люди, с которыми могли иметь контакт заразившиеся. Такие же меры предприняты в городе Во Эуганео</w:t>
      </w:r>
      <w:r w:rsidRPr="00EA64D4">
        <w:rPr>
          <w:lang w:val="ru-RU"/>
        </w:rPr>
        <w:t xml:space="preserve"> </w:t>
      </w:r>
      <w:r>
        <w:t xml:space="preserve">в </w:t>
      </w:r>
      <w:r w:rsidRPr="0020235C">
        <w:t>Падуе</w:t>
      </w:r>
      <w:r>
        <w:rPr>
          <w:lang w:val="ru-RU"/>
        </w:rPr>
        <w:t xml:space="preserve"> (</w:t>
      </w:r>
      <w:r w:rsidRPr="00EA64D4">
        <w:rPr>
          <w:b/>
        </w:rPr>
        <w:t>Венето</w:t>
      </w:r>
      <w:r>
        <w:rPr>
          <w:lang w:val="ru-RU"/>
        </w:rPr>
        <w:t>)</w:t>
      </w:r>
      <w:r>
        <w:t>.</w:t>
      </w:r>
      <w:r>
        <w:rPr>
          <w:lang w:val="ru-RU"/>
        </w:rPr>
        <w:t xml:space="preserve"> </w:t>
      </w:r>
    </w:p>
    <w:p w:rsidR="00B14EC6" w:rsidRPr="0084562A" w:rsidRDefault="00B14EC6" w:rsidP="00B14EC6">
      <w:pPr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0"/>
        <w:contextualSpacing/>
        <w:jc w:val="both"/>
        <w:rPr>
          <w:rFonts w:cs="Times New Roman"/>
          <w:lang w:val="ru-RU"/>
        </w:rPr>
      </w:pPr>
      <w:r w:rsidRPr="0084562A">
        <w:rPr>
          <w:rFonts w:cs="Times New Roman"/>
          <w:lang w:val="ru-RU"/>
        </w:rPr>
        <w:t>Турция, Пакистан, Ирак и Армения закры</w:t>
      </w:r>
      <w:r w:rsidR="00E60A03">
        <w:rPr>
          <w:rFonts w:cs="Times New Roman"/>
          <w:lang w:val="ru-RU"/>
        </w:rPr>
        <w:t>ли</w:t>
      </w:r>
      <w:r w:rsidRPr="0084562A">
        <w:rPr>
          <w:rFonts w:cs="Times New Roman"/>
          <w:lang w:val="ru-RU"/>
        </w:rPr>
        <w:t xml:space="preserve"> границы с </w:t>
      </w:r>
      <w:r>
        <w:rPr>
          <w:rFonts w:cs="Times New Roman"/>
          <w:lang w:val="ru-RU"/>
        </w:rPr>
        <w:t>Ираном</w:t>
      </w:r>
      <w:r w:rsidRPr="0084562A">
        <w:rPr>
          <w:rFonts w:cs="Times New Roman"/>
          <w:lang w:val="ru-RU"/>
        </w:rPr>
        <w:t>. Грузия вв</w:t>
      </w:r>
      <w:r w:rsidR="00E60A03">
        <w:rPr>
          <w:rFonts w:cs="Times New Roman"/>
          <w:lang w:val="ru-RU"/>
        </w:rPr>
        <w:t>ела</w:t>
      </w:r>
      <w:r w:rsidRPr="0084562A">
        <w:rPr>
          <w:rFonts w:cs="Times New Roman"/>
          <w:lang w:val="ru-RU"/>
        </w:rPr>
        <w:t xml:space="preserve"> строгий контроль на КПП и ограничивает авиасообщение. Также приостановлено движение пассажирского транспорта между Ираном и Афганистаном. </w:t>
      </w:r>
    </w:p>
    <w:sectPr w:rsidR="00B14EC6" w:rsidRPr="0084562A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grammar="clean"/>
  <w:defaultTabStop w:val="708"/>
  <w:characterSpacingControl w:val="doNotCompress"/>
  <w:savePreviewPicture/>
  <w:compat/>
  <w:rsids>
    <w:rsidRoot w:val="00250D64"/>
    <w:rsid w:val="000113DC"/>
    <w:rsid w:val="0002725E"/>
    <w:rsid w:val="00067FB5"/>
    <w:rsid w:val="00081163"/>
    <w:rsid w:val="00101878"/>
    <w:rsid w:val="001435E7"/>
    <w:rsid w:val="001F5A64"/>
    <w:rsid w:val="00210628"/>
    <w:rsid w:val="002139D4"/>
    <w:rsid w:val="00224A91"/>
    <w:rsid w:val="00250D64"/>
    <w:rsid w:val="002528A5"/>
    <w:rsid w:val="00257818"/>
    <w:rsid w:val="002623E5"/>
    <w:rsid w:val="0026299B"/>
    <w:rsid w:val="00264197"/>
    <w:rsid w:val="002821B8"/>
    <w:rsid w:val="0028484C"/>
    <w:rsid w:val="002A581B"/>
    <w:rsid w:val="002C1C42"/>
    <w:rsid w:val="002E2670"/>
    <w:rsid w:val="002F2E76"/>
    <w:rsid w:val="00365794"/>
    <w:rsid w:val="003720B7"/>
    <w:rsid w:val="003C375D"/>
    <w:rsid w:val="003E6FEA"/>
    <w:rsid w:val="00414E44"/>
    <w:rsid w:val="00471290"/>
    <w:rsid w:val="004E300C"/>
    <w:rsid w:val="004E3CD2"/>
    <w:rsid w:val="004E666D"/>
    <w:rsid w:val="00506900"/>
    <w:rsid w:val="00506CED"/>
    <w:rsid w:val="00513EEE"/>
    <w:rsid w:val="00543039"/>
    <w:rsid w:val="00584753"/>
    <w:rsid w:val="00593916"/>
    <w:rsid w:val="005B1441"/>
    <w:rsid w:val="005C64E6"/>
    <w:rsid w:val="005F280C"/>
    <w:rsid w:val="005F3E92"/>
    <w:rsid w:val="006626C2"/>
    <w:rsid w:val="006659F8"/>
    <w:rsid w:val="006A2304"/>
    <w:rsid w:val="006C3E78"/>
    <w:rsid w:val="006F17AF"/>
    <w:rsid w:val="006F238F"/>
    <w:rsid w:val="006F6261"/>
    <w:rsid w:val="007068BF"/>
    <w:rsid w:val="00714952"/>
    <w:rsid w:val="0073697B"/>
    <w:rsid w:val="00740E66"/>
    <w:rsid w:val="007759BE"/>
    <w:rsid w:val="0078249C"/>
    <w:rsid w:val="007C5907"/>
    <w:rsid w:val="007F5E09"/>
    <w:rsid w:val="00824A7A"/>
    <w:rsid w:val="00831787"/>
    <w:rsid w:val="0083436C"/>
    <w:rsid w:val="008926B2"/>
    <w:rsid w:val="008E3E21"/>
    <w:rsid w:val="00925CA1"/>
    <w:rsid w:val="009472E7"/>
    <w:rsid w:val="009F5C22"/>
    <w:rsid w:val="00A02174"/>
    <w:rsid w:val="00A275A2"/>
    <w:rsid w:val="00A304AB"/>
    <w:rsid w:val="00A74AE6"/>
    <w:rsid w:val="00AD4D58"/>
    <w:rsid w:val="00B02E11"/>
    <w:rsid w:val="00B14EC6"/>
    <w:rsid w:val="00B5386F"/>
    <w:rsid w:val="00B657F5"/>
    <w:rsid w:val="00B679C4"/>
    <w:rsid w:val="00B80D17"/>
    <w:rsid w:val="00B9243C"/>
    <w:rsid w:val="00BA636B"/>
    <w:rsid w:val="00BC0E00"/>
    <w:rsid w:val="00BC3698"/>
    <w:rsid w:val="00BC44AB"/>
    <w:rsid w:val="00BD3F50"/>
    <w:rsid w:val="00BE3CAC"/>
    <w:rsid w:val="00C1207D"/>
    <w:rsid w:val="00C13B78"/>
    <w:rsid w:val="00C16001"/>
    <w:rsid w:val="00CB2E32"/>
    <w:rsid w:val="00CB5AFD"/>
    <w:rsid w:val="00D03964"/>
    <w:rsid w:val="00D46B38"/>
    <w:rsid w:val="00D47789"/>
    <w:rsid w:val="00D9614E"/>
    <w:rsid w:val="00DB0242"/>
    <w:rsid w:val="00DB69E3"/>
    <w:rsid w:val="00DB7940"/>
    <w:rsid w:val="00DC6C6C"/>
    <w:rsid w:val="00DD0B57"/>
    <w:rsid w:val="00E10BEC"/>
    <w:rsid w:val="00E15D7E"/>
    <w:rsid w:val="00E54B15"/>
    <w:rsid w:val="00E60A03"/>
    <w:rsid w:val="00E77491"/>
    <w:rsid w:val="00EA0A01"/>
    <w:rsid w:val="00ED1A2C"/>
    <w:rsid w:val="00F60993"/>
    <w:rsid w:val="00F650EC"/>
    <w:rsid w:val="00F801CC"/>
    <w:rsid w:val="00F8132F"/>
    <w:rsid w:val="00F92544"/>
    <w:rsid w:val="00FB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E654B-882B-478D-B74F-4DF7C21E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</dc:creator>
  <cp:lastModifiedBy>Skudareva_ON</cp:lastModifiedBy>
  <cp:revision>3</cp:revision>
  <cp:lastPrinted>2020-02-27T12:00:00Z</cp:lastPrinted>
  <dcterms:created xsi:type="dcterms:W3CDTF">2020-03-02T09:54:00Z</dcterms:created>
  <dcterms:modified xsi:type="dcterms:W3CDTF">2020-03-02T09:55:00Z</dcterms:modified>
</cp:coreProperties>
</file>