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00" w:rsidRPr="00AA5000" w:rsidRDefault="00AA5000" w:rsidP="00AA5000">
      <w:pPr>
        <w:pStyle w:val="a6"/>
        <w:spacing w:line="276" w:lineRule="auto"/>
        <w:ind w:left="284"/>
        <w:jc w:val="right"/>
        <w:rPr>
          <w:rFonts w:cs="Times New Roman"/>
          <w:i/>
        </w:rPr>
      </w:pPr>
      <w:r w:rsidRPr="00AA5000">
        <w:rPr>
          <w:rFonts w:cs="Times New Roman"/>
          <w:i/>
        </w:rPr>
        <w:t>Информация подготовлена ФКУЗ РосНИПЧИ «Микроб»</w:t>
      </w: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p w:rsidR="00AA5000" w:rsidRPr="00AA5000" w:rsidRDefault="00AA5000" w:rsidP="00AA5000">
      <w:pPr>
        <w:pStyle w:val="a6"/>
        <w:spacing w:line="276" w:lineRule="auto"/>
        <w:ind w:left="284"/>
        <w:jc w:val="center"/>
        <w:rPr>
          <w:rFonts w:cs="Times New Roman"/>
          <w:b/>
        </w:rPr>
      </w:pPr>
      <w:r w:rsidRPr="00AA5000">
        <w:rPr>
          <w:rFonts w:cs="Times New Roman"/>
          <w:b/>
        </w:rPr>
        <w:t>Эпидемиологическая обстановка и распространение COVID-19 в мире</w:t>
      </w:r>
    </w:p>
    <w:p w:rsidR="00AA5000" w:rsidRPr="00AA5000" w:rsidRDefault="00AA5000" w:rsidP="00AA5000">
      <w:pPr>
        <w:pStyle w:val="a6"/>
        <w:spacing w:line="276" w:lineRule="auto"/>
        <w:ind w:left="284"/>
        <w:jc w:val="center"/>
        <w:rPr>
          <w:rFonts w:cs="Times New Roman"/>
          <w:b/>
        </w:rPr>
      </w:pPr>
      <w:r w:rsidRPr="00AA5000">
        <w:rPr>
          <w:rFonts w:cs="Times New Roman"/>
          <w:b/>
        </w:rPr>
        <w:t>по состоянию на 08.00 (МСК) от 03.03.2020 г.</w:t>
      </w:r>
    </w:p>
    <w:p w:rsidR="00AA5000" w:rsidRP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</w:rPr>
      </w:pPr>
    </w:p>
    <w:p w:rsidR="00AA5000" w:rsidRPr="00AA5000" w:rsidRDefault="00AA5000" w:rsidP="00AA5000">
      <w:pPr>
        <w:pStyle w:val="a6"/>
        <w:numPr>
          <w:ilvl w:val="0"/>
          <w:numId w:val="18"/>
        </w:numPr>
        <w:spacing w:line="276" w:lineRule="auto"/>
        <w:ind w:left="284"/>
        <w:jc w:val="both"/>
        <w:rPr>
          <w:rFonts w:cs="Times New Roman"/>
        </w:rPr>
      </w:pPr>
      <w:r w:rsidRPr="00AA5000">
        <w:rPr>
          <w:rFonts w:cs="Times New Roman"/>
        </w:rPr>
        <w:t xml:space="preserve">Согласно данным ежедневного отчёта Государственной Комиссии здравоохранения Китая по состоянию на 24.00 по Пекину 02.03.2020 г. (19.00 по мск) в целом в </w:t>
      </w:r>
      <w:r w:rsidRPr="00167B03">
        <w:rPr>
          <w:rFonts w:cs="Times New Roman"/>
          <w:b/>
        </w:rPr>
        <w:t>КНР</w:t>
      </w:r>
      <w:r w:rsidRPr="00AA5000">
        <w:rPr>
          <w:rFonts w:cs="Times New Roman"/>
        </w:rPr>
        <w:t xml:space="preserve"> зарегистрировано случаев заболевания – </w:t>
      </w:r>
      <w:r w:rsidRPr="00167B03">
        <w:rPr>
          <w:rFonts w:cs="Times New Roman"/>
          <w:b/>
        </w:rPr>
        <w:t>80302</w:t>
      </w:r>
      <w:r w:rsidRPr="00AA5000">
        <w:rPr>
          <w:rFonts w:cs="Times New Roman"/>
        </w:rPr>
        <w:t xml:space="preserve">. За сутки с 00.00 02.03.2020 по 00.00 (время Пекина) 03.03.2020 г. прирост составил 128 случаев (0,2%). </w:t>
      </w:r>
    </w:p>
    <w:p w:rsidR="00AA5000" w:rsidRPr="00AA5000" w:rsidRDefault="00AA5000" w:rsidP="00AA5000">
      <w:pPr>
        <w:pStyle w:val="a6"/>
        <w:numPr>
          <w:ilvl w:val="0"/>
          <w:numId w:val="18"/>
        </w:numPr>
        <w:spacing w:line="276" w:lineRule="auto"/>
        <w:ind w:left="284"/>
        <w:jc w:val="both"/>
        <w:rPr>
          <w:rFonts w:cs="Times New Roman"/>
        </w:rPr>
      </w:pPr>
      <w:r w:rsidRPr="00AA5000">
        <w:rPr>
          <w:rFonts w:cs="Times New Roman"/>
        </w:rPr>
        <w:t xml:space="preserve">Случаев с летальным исходом – 2946 (прирост 31; летальность 3,7%; вне провинции Хубэй – 0,86%). В тяжёлом состоянии находятся 6806 человек (8,5%). Выписано 47260 человек (прирост 2741; 6%). Отслежено контактных лиц - 664899 (1659 за последние сутки, прирост 0,3%), 40651 находятся под наблюдением. </w:t>
      </w:r>
    </w:p>
    <w:p w:rsidR="00AA5000" w:rsidRPr="00AA5000" w:rsidRDefault="00AA5000" w:rsidP="00AA5000">
      <w:pPr>
        <w:pStyle w:val="a6"/>
        <w:numPr>
          <w:ilvl w:val="0"/>
          <w:numId w:val="18"/>
        </w:numPr>
        <w:spacing w:line="276" w:lineRule="auto"/>
        <w:ind w:left="284"/>
        <w:jc w:val="both"/>
        <w:rPr>
          <w:rFonts w:cs="Times New Roman"/>
        </w:rPr>
      </w:pPr>
      <w:r w:rsidRPr="00AA5000">
        <w:rPr>
          <w:rFonts w:cs="Times New Roman"/>
        </w:rPr>
        <w:t xml:space="preserve">Всего в </w:t>
      </w:r>
      <w:r w:rsidRPr="00167B03">
        <w:rPr>
          <w:rFonts w:cs="Times New Roman"/>
          <w:b/>
        </w:rPr>
        <w:t>мире</w:t>
      </w:r>
      <w:r w:rsidRPr="00AA5000">
        <w:rPr>
          <w:rFonts w:cs="Times New Roman"/>
        </w:rPr>
        <w:t xml:space="preserve"> по состоянию на 08.00 по мск 03.03.2020 г. из доступных источников известно о </w:t>
      </w:r>
      <w:r w:rsidRPr="00167B03">
        <w:rPr>
          <w:rFonts w:cs="Times New Roman"/>
          <w:b/>
        </w:rPr>
        <w:t>90926</w:t>
      </w:r>
      <w:r w:rsidRPr="00AA5000">
        <w:rPr>
          <w:rFonts w:cs="Times New Roman"/>
        </w:rPr>
        <w:t xml:space="preserve"> подтверждённых случаях (прирост за сутки 1860 случаев; 2,1%). В 72 странах мира вне КНР зарегистрировано 10624 случаев (за последние сутки прирост 1732; 19,5%).</w:t>
      </w:r>
    </w:p>
    <w:p w:rsidR="00B657F5" w:rsidRPr="00AA5000" w:rsidRDefault="00AA5000" w:rsidP="00AA5000">
      <w:pPr>
        <w:pStyle w:val="a6"/>
        <w:numPr>
          <w:ilvl w:val="0"/>
          <w:numId w:val="18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AA5000">
        <w:rPr>
          <w:rFonts w:cs="Times New Roman"/>
        </w:rPr>
        <w:t>За последние сутки впервые случаи зарегистрированы в:</w:t>
      </w:r>
      <w:r>
        <w:rPr>
          <w:rFonts w:cs="Times New Roman"/>
          <w:lang w:val="ru-RU"/>
        </w:rPr>
        <w:t xml:space="preserve"> </w:t>
      </w:r>
      <w:r w:rsidR="00F13834">
        <w:rPr>
          <w:rFonts w:cs="Times New Roman"/>
          <w:lang w:val="ru-RU"/>
        </w:rPr>
        <w:t xml:space="preserve">Индонезии (2 завозных случая из Японии), Португалии (по 1 завозному случаю из Испании и Италии), Сенегале (1; вероятно завоз из Франции), Саудовской Аравии (1 завозной случай из Ирана). По одному завозному случаю из Италии зарегистрировано в Иордании, Тунисе, Латвии, Морокко. </w:t>
      </w: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i/>
          <w:lang w:val="ru-RU"/>
        </w:rPr>
      </w:pPr>
    </w:p>
    <w:p w:rsidR="00AA5000" w:rsidRPr="00AA5000" w:rsidRDefault="00AA5000" w:rsidP="00AA5000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AA5000" w:rsidRPr="007E6987" w:rsidTr="00167B0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A5000" w:rsidRPr="007E6987" w:rsidRDefault="00AA5000" w:rsidP="00167B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A5000" w:rsidRPr="007E6987" w:rsidRDefault="00AA5000" w:rsidP="00167B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Всего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A5000" w:rsidRPr="007E6987" w:rsidRDefault="00AA5000" w:rsidP="00167B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A5000" w:rsidRPr="007E6987" w:rsidRDefault="00AA5000" w:rsidP="00167B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A5000" w:rsidRPr="007E6987" w:rsidRDefault="00AA5000" w:rsidP="00167B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Летальных случаев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A5000" w:rsidRPr="007E6987" w:rsidRDefault="00AA5000" w:rsidP="00167B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A5000" w:rsidRPr="007E6987" w:rsidRDefault="00AA5000" w:rsidP="00167B03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Летальность</w:t>
            </w:r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AA5000" w:rsidRPr="007E6987" w:rsidTr="00167B0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A5000" w:rsidRPr="007E6987" w:rsidRDefault="00AA5000" w:rsidP="00167B0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80302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128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0,2%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2946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31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3,7%</w:t>
            </w:r>
            <w:r>
              <w:rPr>
                <w:rFonts w:cs="Times New Roman"/>
              </w:rPr>
              <w:fldChar w:fldCharType="end"/>
            </w:r>
          </w:p>
        </w:tc>
      </w:tr>
      <w:tr w:rsidR="00AA5000" w:rsidRPr="007E6987" w:rsidTr="00167B0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A5000" w:rsidRPr="007E6987" w:rsidRDefault="00AA5000" w:rsidP="00167B0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Вне Китая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10624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1732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19,5%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177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47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1,7%</w:t>
            </w:r>
            <w:r>
              <w:rPr>
                <w:rFonts w:cs="Times New Roman"/>
              </w:rPr>
              <w:fldChar w:fldCharType="end"/>
            </w:r>
          </w:p>
        </w:tc>
      </w:tr>
      <w:tr w:rsidR="00AA5000" w:rsidRPr="007E6987" w:rsidTr="00167B03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A5000" w:rsidRPr="007E6987" w:rsidRDefault="00AA5000" w:rsidP="00167B0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Итого в мире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90926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1860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2,1%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3123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78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A5000" w:rsidRPr="007E6987" w:rsidRDefault="00030C8B" w:rsidP="00167B0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A5000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AA5000" w:rsidRPr="00015CBD">
              <w:rPr>
                <w:rFonts w:cs="Times New Roman"/>
                <w:noProof/>
                <w:sz w:val="24"/>
                <w:szCs w:val="24"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Default="00167B03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AA5000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876800" cy="2501900"/>
            <wp:effectExtent l="0" t="0" r="0" b="0"/>
            <wp:docPr id="8" name="Рисунок 4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Default="00DF0669" w:rsidP="00DB7940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47485" cy="3359150"/>
            <wp:effectExtent l="19050" t="0" r="571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Default="00DB7940" w:rsidP="00DB7940">
      <w:pPr>
        <w:rPr>
          <w:lang w:val="en-US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Ind w:w="-1606" w:type="dxa"/>
        <w:tblLayout w:type="fixed"/>
        <w:tblLook w:val="04A0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>Количество случаев</w:t>
            </w:r>
          </w:p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Количество случаев с летальным исходом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80302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300" w:type="dxa"/>
            <w:vAlign w:val="bottom"/>
          </w:tcPr>
          <w:p w:rsidR="00F25CA6" w:rsidRPr="00295E30" w:rsidRDefault="00295E30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4812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25CA6" w:rsidRPr="00ED1A2C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167B03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25CA6" w:rsidRPr="00F25CA6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25CA6" w:rsidRPr="00F25CA6" w:rsidRDefault="00F25CA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Индонезия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Люксембург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Default="00F25CA6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Ирландия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Pr="00B679C4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548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Андорра</w:t>
            </w:r>
          </w:p>
        </w:tc>
        <w:tc>
          <w:tcPr>
            <w:tcW w:w="1548" w:type="dxa"/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F25CA6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Португалия</w:t>
            </w:r>
          </w:p>
        </w:tc>
        <w:tc>
          <w:tcPr>
            <w:tcW w:w="1548" w:type="dxa"/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300" w:type="dxa"/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439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25CA6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25CA6" w:rsidRPr="00F25CA6" w:rsidRDefault="00F25CA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Латвия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5CA6" w:rsidRPr="00B679C4" w:rsidRDefault="00F25CA6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5CA6" w:rsidRPr="00B679C4" w:rsidRDefault="00F25CA6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5CA6" w:rsidRPr="00B679C4" w:rsidRDefault="00F25CA6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5CA6" w:rsidRPr="00B679C4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Эквадор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25CA6" w:rsidRPr="00B679C4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Доминиканская Республика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167B03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F25CA6" w:rsidRDefault="00F25CA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Иордания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 w:rsidP="00167B03">
            <w:pPr>
              <w:jc w:val="center"/>
            </w:pPr>
            <w:r w:rsidRPr="0022263B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 w:rsidP="00167B03">
            <w:pPr>
              <w:jc w:val="center"/>
            </w:pPr>
            <w:r w:rsidRPr="0022263B">
              <w:rPr>
                <w:color w:val="000000"/>
              </w:rPr>
              <w:t>0</w:t>
            </w:r>
          </w:p>
        </w:tc>
      </w:tr>
      <w:tr w:rsidR="00F25CA6" w:rsidRPr="00B679C4" w:rsidTr="00167B03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F25CA6" w:rsidRDefault="00F25CA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Тунис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 w:rsidP="00167B03">
            <w:pPr>
              <w:jc w:val="center"/>
            </w:pPr>
            <w:r w:rsidRPr="0022263B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 w:rsidP="00167B03">
            <w:pPr>
              <w:jc w:val="center"/>
            </w:pPr>
            <w:r w:rsidRPr="0022263B">
              <w:rPr>
                <w:color w:val="000000"/>
              </w:rPr>
              <w:t>0</w:t>
            </w:r>
          </w:p>
        </w:tc>
      </w:tr>
      <w:tr w:rsidR="00F25CA6" w:rsidRPr="00B679C4" w:rsidTr="00167B03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F25CA6" w:rsidRDefault="00F25CA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Саудовская Аравия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 w:rsidP="00167B03">
            <w:pPr>
              <w:jc w:val="center"/>
            </w:pPr>
            <w:r w:rsidRPr="0022263B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 w:rsidP="00167B03">
            <w:pPr>
              <w:jc w:val="center"/>
            </w:pPr>
            <w:r w:rsidRPr="0022263B">
              <w:rPr>
                <w:color w:val="000000"/>
              </w:rPr>
              <w:t>0</w:t>
            </w:r>
          </w:p>
        </w:tc>
      </w:tr>
      <w:tr w:rsidR="00F25CA6" w:rsidRPr="00B679C4" w:rsidTr="00167B03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25CA6" w:rsidRPr="00B679C4" w:rsidRDefault="00F25CA6" w:rsidP="00167B0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F25CA6" w:rsidRPr="00F25CA6" w:rsidRDefault="00F25CA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Морокко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</w:tcPr>
          <w:p w:rsidR="00F25CA6" w:rsidRDefault="00F25CA6" w:rsidP="00167B03">
            <w:pPr>
              <w:jc w:val="center"/>
            </w:pPr>
            <w:r w:rsidRPr="0022263B"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</w:tcPr>
          <w:p w:rsidR="00F25CA6" w:rsidRDefault="00F25CA6" w:rsidP="00167B03">
            <w:pPr>
              <w:jc w:val="center"/>
            </w:pPr>
            <w:r w:rsidRPr="0022263B"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F25CA6" w:rsidRPr="00B679C4" w:rsidRDefault="00F25CA6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F25CA6" w:rsidRDefault="00F25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167B0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Default="00F25CA6" w:rsidP="00167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F25CA6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F25CA6" w:rsidRPr="00B679C4" w:rsidRDefault="00F25CA6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B679C4" w:rsidRDefault="00F25CA6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25CA6" w:rsidRPr="00F25CA6" w:rsidRDefault="00F25CA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Сенегал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5CA6" w:rsidRPr="00F25CA6" w:rsidRDefault="00F25CA6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5CA6" w:rsidRPr="00B679C4" w:rsidTr="00167B03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F25CA6" w:rsidRPr="00B679C4" w:rsidRDefault="00F25CA6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F25CA6" w:rsidRPr="00B679C4" w:rsidRDefault="00F25CA6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bottom"/>
          </w:tcPr>
          <w:p w:rsidR="00F25CA6" w:rsidRPr="00167B03" w:rsidRDefault="00167B03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90926</w:t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bottom"/>
          </w:tcPr>
          <w:p w:rsidR="00F25CA6" w:rsidRPr="00167B03" w:rsidRDefault="00295E30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1860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  <w:vAlign w:val="bottom"/>
          </w:tcPr>
          <w:p w:rsidR="00F25CA6" w:rsidRPr="00167B03" w:rsidRDefault="00167B03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3123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bottom"/>
          </w:tcPr>
          <w:p w:rsidR="00F25CA6" w:rsidRPr="00167B03" w:rsidRDefault="00167B03" w:rsidP="00167B0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78</w:t>
            </w:r>
          </w:p>
        </w:tc>
      </w:tr>
    </w:tbl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DF0669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785787" cy="277989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08" cy="2783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DF0669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3675" cy="3157855"/>
            <wp:effectExtent l="19050" t="0" r="317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F5" w:rsidRDefault="00B657F5" w:rsidP="00FB4AB4">
      <w:pPr>
        <w:spacing w:line="276" w:lineRule="auto"/>
        <w:ind w:left="-851" w:firstLine="567"/>
        <w:jc w:val="center"/>
        <w:rPr>
          <w:rFonts w:cs="Times New Roman"/>
          <w:lang w:val="ru-RU"/>
        </w:rPr>
      </w:pP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</w:rPr>
        <w:t xml:space="preserve">Рис.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Темп прироста числа зарегистрированных случаев</w:t>
      </w:r>
      <w:r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Pr="00B657F5" w:rsidRDefault="00B657F5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r w:rsidRPr="00F955FD">
        <w:rPr>
          <w:rFonts w:cs="Times New Roman"/>
          <w:b/>
        </w:rPr>
        <w:t xml:space="preserve">Количество подтверждённых случаев заболевания, вызванного новым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Хопкинса на 8.00 по мск от </w:t>
      </w:r>
      <w:r w:rsidR="00167B03">
        <w:rPr>
          <w:rFonts w:cs="Times New Roman"/>
          <w:b/>
          <w:lang w:val="ru-RU"/>
        </w:rPr>
        <w:t>03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67217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2834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1213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Гуйчжоу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AA5000" w:rsidRDefault="00AA5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AA5000" w:rsidRDefault="00AA5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AA5000" w:rsidRPr="00517B1C" w:rsidTr="00167B03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AA5000" w:rsidRPr="00517B1C" w:rsidRDefault="00AA5000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80302</w:t>
            </w:r>
          </w:p>
        </w:tc>
        <w:tc>
          <w:tcPr>
            <w:tcW w:w="1197" w:type="dxa"/>
            <w:noWrap/>
            <w:vAlign w:val="bottom"/>
            <w:hideMark/>
          </w:tcPr>
          <w:p w:rsidR="00AA5000" w:rsidRDefault="00AA500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46" w:type="dxa"/>
            <w:noWrap/>
            <w:vAlign w:val="bottom"/>
            <w:hideMark/>
          </w:tcPr>
          <w:p w:rsidR="00AA5000" w:rsidRPr="00AA5000" w:rsidRDefault="00AA50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2947</w:t>
            </w:r>
            <w:r>
              <w:rPr>
                <w:color w:val="000000"/>
                <w:lang w:val="ru-RU"/>
              </w:rPr>
              <w:t>*</w:t>
            </w:r>
          </w:p>
        </w:tc>
        <w:tc>
          <w:tcPr>
            <w:tcW w:w="1208" w:type="dxa"/>
            <w:noWrap/>
            <w:vAlign w:val="bottom"/>
            <w:hideMark/>
          </w:tcPr>
          <w:p w:rsidR="00AA5000" w:rsidRPr="00AA5000" w:rsidRDefault="00AA500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ru-RU"/>
              </w:rPr>
              <w:t>*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AA5000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>*Сумма случаев с летальным исходом в провинциях КНР по данным Университета Джонса Хопкинса (2947) отличается от данных, опубликованных Национальной Комиссией здравоохранения КНР (2946).</w:t>
      </w: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7B03" w:rsidRDefault="00167B03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264197" w:rsidRPr="003C111B" w:rsidRDefault="00264197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 w:rsidRPr="003C111B">
        <w:rPr>
          <w:rFonts w:cs="Times New Roman"/>
          <w:b/>
          <w:lang w:val="ru-RU"/>
        </w:rPr>
        <w:t>Информация из ежедневных отчетов ВОЗ</w:t>
      </w:r>
    </w:p>
    <w:p w:rsidR="00EA0A01" w:rsidRDefault="00EA0A01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657F5" w:rsidRPr="00167B03" w:rsidRDefault="00167B03" w:rsidP="00EA0A01">
      <w:pPr>
        <w:pStyle w:val="a6"/>
        <w:spacing w:line="276" w:lineRule="auto"/>
        <w:ind w:left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пресс-конференции 02.03.20 глава ВОЗ заявил о том, что группа специалистов организации прибыла в Иран для поддержки местных сил и доставила некоторые запасы снабжения. Один из работников местного офиса ВОЗ в Иране заболел </w:t>
      </w:r>
      <w:r>
        <w:rPr>
          <w:rFonts w:cs="Times New Roman"/>
          <w:lang w:val="en-US"/>
        </w:rPr>
        <w:t>COVID</w:t>
      </w:r>
      <w:r>
        <w:rPr>
          <w:rFonts w:cs="Times New Roman"/>
          <w:lang w:val="ru-RU"/>
        </w:rPr>
        <w:t>-19</w:t>
      </w:r>
      <w:r w:rsidRPr="00167B03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 лёгкой форме. В Южной Корее новые случаи</w:t>
      </w:r>
      <w:r w:rsidR="00EE3CAE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как правило</w:t>
      </w:r>
      <w:r w:rsidR="00EE3CAE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регистрируются в пределах 5 ранее выявленных </w:t>
      </w:r>
      <w:proofErr w:type="gramStart"/>
      <w:r>
        <w:rPr>
          <w:rFonts w:cs="Times New Roman"/>
          <w:lang w:val="ru-RU"/>
        </w:rPr>
        <w:t>кластеров</w:t>
      </w:r>
      <w:proofErr w:type="gramEnd"/>
      <w:r>
        <w:rPr>
          <w:rFonts w:cs="Times New Roman"/>
          <w:lang w:val="ru-RU"/>
        </w:rPr>
        <w:t xml:space="preserve"> и распространение вируса </w:t>
      </w:r>
      <w:r w:rsidR="00EE3CAE">
        <w:rPr>
          <w:rFonts w:cs="Times New Roman"/>
          <w:lang w:val="ru-RU"/>
        </w:rPr>
        <w:t xml:space="preserve">может быть сдержано. </w:t>
      </w:r>
    </w:p>
    <w:p w:rsidR="00167B03" w:rsidRDefault="00167B03" w:rsidP="00EA0A01">
      <w:pPr>
        <w:pStyle w:val="a6"/>
        <w:spacing w:line="276" w:lineRule="auto"/>
        <w:ind w:left="0"/>
        <w:rPr>
          <w:rFonts w:cs="Times New Roman"/>
          <w:lang w:val="ru-RU"/>
        </w:rPr>
      </w:pPr>
    </w:p>
    <w:p w:rsidR="00B657F5" w:rsidRDefault="00B657F5" w:rsidP="00EA0A01">
      <w:pPr>
        <w:pStyle w:val="a6"/>
        <w:spacing w:line="276" w:lineRule="auto"/>
        <w:ind w:left="0"/>
        <w:rPr>
          <w:rFonts w:cs="Times New Roman"/>
          <w:lang w:val="ru-RU"/>
        </w:rPr>
      </w:pP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  <w:r w:rsidRPr="004921D9">
        <w:rPr>
          <w:rFonts w:cs="Times New Roman"/>
          <w:b/>
        </w:rPr>
        <w:t xml:space="preserve">Эпидемиологические и клинические характеристики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  <w:r w:rsidR="00593916">
        <w:rPr>
          <w:rFonts w:cs="Times New Roman"/>
          <w:lang w:val="ru-RU"/>
        </w:rPr>
        <w:t xml:space="preserve"> </w:t>
      </w:r>
      <w:r w:rsidR="00593916">
        <w:rPr>
          <w:rFonts w:cs="Times New Roman"/>
        </w:rPr>
        <w:t>Природный резервуар</w:t>
      </w:r>
      <w:r w:rsidRPr="004921D9">
        <w:rPr>
          <w:rFonts w:cs="Times New Roman"/>
          <w:b/>
        </w:rPr>
        <w:t xml:space="preserve">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</w:t>
      </w:r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</w:p>
    <w:p w:rsidR="00B14EC6" w:rsidRPr="004921D9" w:rsidRDefault="00B14EC6" w:rsidP="00513EEE">
      <w:pPr>
        <w:numPr>
          <w:ilvl w:val="0"/>
          <w:numId w:val="7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механизм;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>Положительные результаты на новый коронавирус получены при ПЦР-исследовании фекалий больных, образцов с дверной ручки дома заболевшего</w:t>
      </w:r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 xml:space="preserve">По данным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>Сообщалось о сроках инкубационного периода от 1 до 17 дней</w:t>
      </w:r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Не исключена возможность заражения от больного в инкубационном периоде.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Клиническая картина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случаев; одышка в 15 % случаях; миалгия, головная боль.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A275A2">
        <w:rPr>
          <w:rFonts w:cs="Times New Roman"/>
        </w:rPr>
        <w:t xml:space="preserve">Средний срок </w:t>
      </w:r>
      <w:r w:rsidRPr="00A275A2">
        <w:rPr>
          <w:rFonts w:cs="Times New Roman"/>
          <w:lang w:val="ru-RU"/>
        </w:rPr>
        <w:t xml:space="preserve">до </w:t>
      </w:r>
      <w:r w:rsidRPr="00A275A2">
        <w:rPr>
          <w:rFonts w:cs="Times New Roman"/>
        </w:rPr>
        <w:t>госпитализации -</w:t>
      </w:r>
      <w:r w:rsidRPr="00A275A2">
        <w:rPr>
          <w:rFonts w:cs="Times New Roman"/>
          <w:lang w:val="ru-RU"/>
        </w:rPr>
        <w:t xml:space="preserve"> </w:t>
      </w:r>
      <w:r w:rsidRPr="00A275A2">
        <w:rPr>
          <w:rFonts w:cs="Times New Roman"/>
        </w:rPr>
        <w:t>5.8 дней (по данным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коронавирус,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настоящее время имеется информация о </w:t>
      </w:r>
      <w:r w:rsidR="007759BE">
        <w:rPr>
          <w:rFonts w:cs="Times New Roman"/>
          <w:lang w:val="ru-RU"/>
        </w:rPr>
        <w:t xml:space="preserve">разработке </w:t>
      </w:r>
      <w:r w:rsidRPr="00831787">
        <w:rPr>
          <w:rFonts w:cs="Times New Roman"/>
        </w:rPr>
        <w:t>тест-систем для выявления РНК вируса 2019-nCoV методом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«Вектор</w:t>
      </w:r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r w:rsidR="007759BE">
        <w:rPr>
          <w:rFonts w:cs="Times New Roman"/>
        </w:rPr>
        <w:t>Университет Гонконга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>«Altona Diagnostics»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7) Гонконгский</w:t>
      </w:r>
      <w:r w:rsidR="007759BE">
        <w:rPr>
          <w:rFonts w:cs="Times New Roman"/>
        </w:rPr>
        <w:t xml:space="preserve"> Университет науки и технологий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«Novacyt/Primerdesign» (Великоб</w:t>
      </w:r>
      <w:r w:rsidR="007759BE">
        <w:rPr>
          <w:rFonts w:cs="Times New Roman"/>
        </w:rPr>
        <w:t>ритания/Франция)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r w:rsidR="007759BE">
        <w:rPr>
          <w:rFonts w:cs="Times New Roman"/>
        </w:rPr>
        <w:t>Thermo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«Qiagen» (Германия)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«Biomeme»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12) «TIB Molbiol»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«Amoy Diagnostics»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</w:t>
      </w:r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B14EC6" w:rsidRPr="004921D9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сообщени</w:t>
      </w:r>
      <w:r>
        <w:rPr>
          <w:rFonts w:cs="Times New Roman"/>
          <w:lang w:val="ru-RU"/>
        </w:rPr>
        <w:t>ям от 15.02.20</w:t>
      </w:r>
      <w:r w:rsidRPr="004921D9">
        <w:rPr>
          <w:rFonts w:cs="Times New Roman"/>
        </w:rPr>
        <w:t xml:space="preserve"> </w:t>
      </w:r>
      <w:r>
        <w:rPr>
          <w:rFonts w:cs="Times New Roman"/>
          <w:lang w:val="ru-RU"/>
        </w:rPr>
        <w:t>б</w:t>
      </w:r>
      <w:r w:rsidRPr="004921D9">
        <w:rPr>
          <w:rFonts w:cs="Times New Roman"/>
        </w:rPr>
        <w:t>олее 25 000 медработников прибыли в провинцию Хубэй из других регионов.</w:t>
      </w:r>
      <w:r>
        <w:rPr>
          <w:rFonts w:cs="Times New Roman"/>
          <w:lang w:val="ru-RU"/>
        </w:rPr>
        <w:t xml:space="preserve"> </w:t>
      </w:r>
    </w:p>
    <w:p w:rsidR="00B14EC6" w:rsidRPr="00130798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 xml:space="preserve">В г. Ухань </w:t>
      </w:r>
      <w:r>
        <w:rPr>
          <w:rFonts w:cs="Times New Roman"/>
          <w:lang w:val="ru-RU"/>
        </w:rPr>
        <w:t>больных принимают</w:t>
      </w:r>
      <w:r w:rsidRPr="00130798">
        <w:rPr>
          <w:rFonts w:cs="Times New Roman"/>
        </w:rPr>
        <w:t xml:space="preserve"> </w:t>
      </w:r>
      <w:r>
        <w:rPr>
          <w:rFonts w:cs="Times New Roman"/>
          <w:lang w:val="ru-RU"/>
        </w:rPr>
        <w:t>23</w:t>
      </w:r>
      <w:r w:rsidRPr="00130798">
        <w:rPr>
          <w:rFonts w:cs="Times New Roman"/>
        </w:rPr>
        <w:t xml:space="preserve"> госпитал</w:t>
      </w:r>
      <w:r>
        <w:rPr>
          <w:rFonts w:cs="Times New Roman"/>
          <w:lang w:val="ru-RU"/>
        </w:rPr>
        <w:t>я</w:t>
      </w:r>
      <w:r w:rsidRPr="00130798">
        <w:rPr>
          <w:rFonts w:cs="Times New Roman"/>
        </w:rPr>
        <w:t xml:space="preserve">, в 61 клинике ведется приём пациентов с подозрением на </w:t>
      </w:r>
      <w:r w:rsidRPr="00130798">
        <w:rPr>
          <w:rFonts w:cs="Times New Roman"/>
          <w:lang w:val="en-US"/>
        </w:rPr>
        <w:t>COVID</w:t>
      </w:r>
      <w:r w:rsidRPr="00130798">
        <w:rPr>
          <w:rFonts w:cs="Times New Roman"/>
        </w:rPr>
        <w:t xml:space="preserve">-19. В г. Ухань переоборудованы во временные госпитали </w:t>
      </w:r>
      <w:r w:rsidR="00584753">
        <w:rPr>
          <w:rFonts w:cs="Times New Roman"/>
          <w:lang w:val="ru-RU"/>
        </w:rPr>
        <w:t>несколько общественных зданий</w:t>
      </w:r>
      <w:r w:rsidRPr="00130798">
        <w:rPr>
          <w:rFonts w:cs="Times New Roman"/>
        </w:rPr>
        <w:t xml:space="preserve">.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B14EC6" w:rsidRPr="00A275A2" w:rsidRDefault="00B14EC6" w:rsidP="00A275A2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 w:rsidRPr="00A275A2">
        <w:rPr>
          <w:rFonts w:eastAsia="Times New Roman" w:cs="Times New Roman"/>
        </w:rPr>
        <w:t xml:space="preserve">В г. Ухань остановлено авиа- и железнодорожное сообщение с 23.01.20 г. Заблокированы автомобильные дороги, введен запрет на паромное сообщение по реке Янцзы. </w:t>
      </w:r>
      <w:r w:rsidRPr="00A275A2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A275A2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r w:rsidR="00A275A2" w:rsidRPr="00A275A2">
        <w:rPr>
          <w:rFonts w:eastAsia="Times New Roman" w:cs="Times New Roman"/>
          <w:shd w:val="clear" w:color="auto" w:fill="FFFFFF"/>
        </w:rPr>
        <w:t xml:space="preserve">В </w:t>
      </w:r>
      <w:r w:rsidR="00A275A2"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городах провинции Хубэй п</w:t>
      </w:r>
      <w:r w:rsidRPr="00A275A2">
        <w:rPr>
          <w:rFonts w:eastAsia="Times New Roman" w:cs="Times New Roman"/>
        </w:rPr>
        <w:t>рекращено движение общественного транспорта, отменены мероприятия с массовым скоплением людей. 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B14EC6" w:rsidRPr="004921D9" w:rsidRDefault="00B14EC6" w:rsidP="00A275A2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 xml:space="preserve">По данным South China Morning Post от 16.02.20, администрация провинции Хубэй запретила всем жителям региона, включая селян, выходить из домов. На улицах запрещено движение пешеходов и любого транспорта, кроме машин полиции и экстренных служб. Также запрещены сборы людей в развлекательных целях. За нарушение запрета на выход на улицу граждан могут задержать на срок до десяти суток. </w:t>
      </w:r>
    </w:p>
    <w:p w:rsidR="00B14EC6" w:rsidRPr="004921D9" w:rsidRDefault="00B14EC6" w:rsidP="00A275A2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</w:t>
      </w:r>
      <w:proofErr w:type="gramEnd"/>
      <w:r w:rsidRPr="005B51FF">
        <w:rPr>
          <w:rFonts w:cs="Times New Roman"/>
          <w:lang w:val="ru-RU"/>
        </w:rPr>
        <w:t xml:space="preserve">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B14EC6" w:rsidRPr="005977DE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СМИ от 15.02.20 в КНР запрещено путешествовать любым общественным транспортом тем, у кого есть температура или кашель. За это 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B14EC6" w:rsidRPr="004921D9" w:rsidRDefault="00B14EC6" w:rsidP="00B14EC6">
      <w:pPr>
        <w:numPr>
          <w:ilvl w:val="0"/>
          <w:numId w:val="2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shd w:val="clear" w:color="auto" w:fill="FFFFFF"/>
        </w:rPr>
      </w:pPr>
      <w:r w:rsidRPr="004921D9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Франция, Италия, Россия</w:t>
      </w:r>
      <w:r>
        <w:rPr>
          <w:rFonts w:cs="Times New Roman"/>
          <w:shd w:val="clear" w:color="auto" w:fill="FFFFFF"/>
          <w:lang w:val="ru-RU"/>
        </w:rPr>
        <w:t xml:space="preserve"> и другие</w:t>
      </w:r>
      <w:r w:rsidRPr="004921D9">
        <w:rPr>
          <w:rFonts w:cs="Times New Roman"/>
          <w:shd w:val="clear" w:color="auto" w:fill="FFFFFF"/>
        </w:rPr>
        <w:t>.</w:t>
      </w:r>
    </w:p>
    <w:p w:rsidR="00B14EC6" w:rsidRPr="004921D9" w:rsidRDefault="00B14EC6" w:rsidP="00B14EC6">
      <w:pPr>
        <w:numPr>
          <w:ilvl w:val="0"/>
          <w:numId w:val="5"/>
        </w:numPr>
        <w:shd w:val="clear" w:color="auto" w:fill="FFFFFF"/>
        <w:spacing w:before="30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eastAsia="Times New Roman" w:cs="Times New Roman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B14EC6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B86DBA">
        <w:rPr>
          <w:rFonts w:cs="Times New Roman"/>
        </w:rPr>
        <w:t xml:space="preserve">С 1.02.20 г. Россия остановила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B86DBA">
        <w:rPr>
          <w:rFonts w:cs="Times New Roman"/>
          <w:iCs/>
          <w:lang w:val="ru-RU"/>
        </w:rPr>
        <w:t>Г</w:t>
      </w:r>
      <w:r w:rsidRPr="00B86DBA">
        <w:rPr>
          <w:rFonts w:cs="Times New Roman"/>
          <w:lang w:val="ru-RU"/>
        </w:rPr>
        <w:t xml:space="preserve">ражданам КНР запрещен въезд в РФ с 20.02.20. Соответствующее распоряжение подписал премьер-министр РФ. </w:t>
      </w:r>
      <w:r>
        <w:rPr>
          <w:rFonts w:cs="Times New Roman"/>
          <w:lang w:val="ru-RU"/>
        </w:rPr>
        <w:t>С 01.03.20 Россия ограничивает авиасообщение с Южной Кореей; п</w:t>
      </w:r>
      <w:r w:rsidRPr="00D95B0B">
        <w:rPr>
          <w:rFonts w:cs="Times New Roman"/>
          <w:lang w:val="ru-RU"/>
        </w:rPr>
        <w:t>родолжат летать в эту страну только авиакомпании "Аэрофлот" (регулярные и чартерные рейсы) и "Аврора" (только чартеры). Прибывшие из Южной Кореи пассажиры будут проходить через терминал F московского аэропорта Шереметьево.</w:t>
      </w:r>
      <w:r w:rsidR="00D9614E">
        <w:rPr>
          <w:rFonts w:cs="Times New Roman"/>
          <w:lang w:val="ru-RU"/>
        </w:rPr>
        <w:t xml:space="preserve"> </w:t>
      </w:r>
      <w:r w:rsidR="00D9614E" w:rsidRPr="00D9614E">
        <w:rPr>
          <w:rFonts w:cs="Times New Roman"/>
          <w:lang w:val="ru-RU"/>
        </w:rPr>
        <w:t>Самолеты авиакомпаний «Аэрофлот» и Alitalia, прилетающие из Италии в «Шереметьево», с 1 марта будут обслуживаться только в терминале F</w:t>
      </w:r>
      <w:r w:rsidR="00D9614E">
        <w:rPr>
          <w:rFonts w:cs="Times New Roman"/>
          <w:lang w:val="ru-RU"/>
        </w:rPr>
        <w:t xml:space="preserve">. </w:t>
      </w:r>
      <w:r w:rsidR="00D9614E" w:rsidRPr="00D9614E">
        <w:rPr>
          <w:rFonts w:cs="Times New Roman"/>
          <w:lang w:val="ru-RU"/>
        </w:rPr>
        <w:t>В свою очередь Минтранс в четверг, 27 февраля, объявил о приостановке пассажирского железнодорожного сообщения между Москвой и Ниццей с 4 марта.</w:t>
      </w:r>
      <w:r w:rsidR="0026299B">
        <w:rPr>
          <w:rFonts w:cs="Times New Roman"/>
          <w:lang w:val="ru-RU"/>
        </w:rPr>
        <w:t xml:space="preserve"> С 28.02.20 ограничено авиасообщение с Ираном.</w:t>
      </w:r>
    </w:p>
    <w:p w:rsidR="00B14EC6" w:rsidRPr="00B86DBA" w:rsidRDefault="00E60A03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 w:rsidR="00B14EC6" w:rsidRPr="00B86DBA">
        <w:rPr>
          <w:rFonts w:cs="Times New Roman"/>
          <w:lang w:val="ru-RU"/>
        </w:rPr>
        <w:t>ласти Сингапура вв</w:t>
      </w:r>
      <w:r>
        <w:rPr>
          <w:rFonts w:cs="Times New Roman"/>
          <w:lang w:val="ru-RU"/>
        </w:rPr>
        <w:t>ели</w:t>
      </w:r>
      <w:r w:rsidR="00B14EC6" w:rsidRPr="00B86DBA">
        <w:rPr>
          <w:rFonts w:cs="Times New Roman"/>
          <w:lang w:val="ru-RU"/>
        </w:rPr>
        <w:t xml:space="preserve"> новые правила домашнего карантина для возвращающихся из Китая, нарушение которого будет грозить тюремным заключением на срок до шести месяцев, крупным штрафом, а также депортацией для иностранцев. </w:t>
      </w:r>
    </w:p>
    <w:p w:rsidR="00B14EC6" w:rsidRPr="00EA64D4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6847BC">
        <w:rPr>
          <w:rFonts w:cs="Times New Roman"/>
          <w:lang w:val="ru-RU"/>
        </w:rPr>
        <w:t xml:space="preserve">Во Вьетнаме закрыли </w:t>
      </w:r>
      <w:r>
        <w:rPr>
          <w:rFonts w:cs="Times New Roman"/>
          <w:lang w:val="ru-RU"/>
        </w:rPr>
        <w:t xml:space="preserve">с 13.02.20 </w:t>
      </w:r>
      <w:r w:rsidRPr="006847BC">
        <w:rPr>
          <w:rFonts w:cs="Times New Roman"/>
          <w:lang w:val="ru-RU"/>
        </w:rPr>
        <w:t>на карантин коммуну Сон Лой с населением около 10 600 человек, поскольку семь местных жителей заразили</w:t>
      </w:r>
      <w:r>
        <w:rPr>
          <w:rFonts w:cs="Times New Roman"/>
          <w:lang w:val="ru-RU"/>
        </w:rPr>
        <w:t>сь новым коронавирусом</w:t>
      </w:r>
      <w:r w:rsidRPr="006847BC">
        <w:rPr>
          <w:rFonts w:cs="Times New Roman"/>
          <w:lang w:val="ru-RU"/>
        </w:rPr>
        <w:t>.</w:t>
      </w:r>
    </w:p>
    <w:p w:rsidR="00B14EC6" w:rsidRPr="0020235C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EA64D4">
        <w:rPr>
          <w:rFonts w:cs="Times New Roman"/>
          <w:lang w:val="ru-RU"/>
        </w:rPr>
        <w:t xml:space="preserve">Совет министров </w:t>
      </w:r>
      <w:r>
        <w:rPr>
          <w:rFonts w:cs="Times New Roman"/>
          <w:lang w:val="ru-RU"/>
        </w:rPr>
        <w:t xml:space="preserve">Италии </w:t>
      </w:r>
      <w:r w:rsidRPr="00EA64D4">
        <w:rPr>
          <w:rFonts w:cs="Times New Roman"/>
          <w:lang w:val="ru-RU"/>
        </w:rPr>
        <w:t xml:space="preserve">на экстренном заседании 22.02.20 принял декрет о мерах борьбы со вспышкой коронавируса на севере страны. В зонах вспышки будут запрещены въезд и выезд, за исключением определенных исключений, которые будут оцениваться в каждом конкретном случае. В десяти городах закрыли все общественные места и отменили массовые мероприятия, а именно церковные мессы, карнавалы и спортивные соревнования. </w:t>
      </w:r>
      <w:r>
        <w:t>Ограничительные меры касаются городов и коммун</w:t>
      </w:r>
      <w:r>
        <w:rPr>
          <w:lang w:val="ru-RU"/>
        </w:rPr>
        <w:t xml:space="preserve"> </w:t>
      </w:r>
      <w:r w:rsidRPr="0020235C">
        <w:rPr>
          <w:b/>
          <w:lang w:val="ru-RU"/>
        </w:rPr>
        <w:t>Ломбардии</w:t>
      </w:r>
      <w:r>
        <w:rPr>
          <w:lang w:val="ru-RU"/>
        </w:rPr>
        <w:t xml:space="preserve">  - </w:t>
      </w:r>
      <w:r>
        <w:t xml:space="preserve"> Казальпустерленго, Кодоньо, Кастильоне-д'Адда, Фомбьо, Малео, Сомалья, Бертонико, Терранова-дей-Пассерини, Кастелджерундо и Сан-Фьорано</w:t>
      </w:r>
      <w:r>
        <w:rPr>
          <w:lang w:val="ru-RU"/>
        </w:rPr>
        <w:t>, Лоди</w:t>
      </w:r>
      <w:r>
        <w:t>.</w:t>
      </w:r>
      <w:r w:rsidRPr="00EA64D4">
        <w:rPr>
          <w:lang w:val="ru-RU"/>
        </w:rPr>
        <w:t xml:space="preserve"> </w:t>
      </w:r>
      <w:r>
        <w:t>Региональные поезда будут следовать без остановок в городах, где находятся люди, с которыми могли иметь контакт заразившиеся. Такие же меры предприняты в городе Во Эуганео</w:t>
      </w:r>
      <w:r w:rsidRPr="00EA64D4">
        <w:rPr>
          <w:lang w:val="ru-RU"/>
        </w:rPr>
        <w:t xml:space="preserve"> </w:t>
      </w:r>
      <w:r>
        <w:t xml:space="preserve">в </w:t>
      </w:r>
      <w:r w:rsidRPr="0020235C">
        <w:t>Падуе</w:t>
      </w:r>
      <w:r>
        <w:rPr>
          <w:lang w:val="ru-RU"/>
        </w:rPr>
        <w:t xml:space="preserve"> (</w:t>
      </w:r>
      <w:r w:rsidRPr="00EA64D4">
        <w:rPr>
          <w:b/>
        </w:rPr>
        <w:t>Венето</w:t>
      </w:r>
      <w:r>
        <w:rPr>
          <w:lang w:val="ru-RU"/>
        </w:rPr>
        <w:t>)</w:t>
      </w:r>
      <w:r>
        <w:t>.</w:t>
      </w:r>
      <w:r>
        <w:rPr>
          <w:lang w:val="ru-RU"/>
        </w:rPr>
        <w:t xml:space="preserve"> </w:t>
      </w:r>
    </w:p>
    <w:p w:rsidR="00B14EC6" w:rsidRPr="0084562A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84562A">
        <w:rPr>
          <w:rFonts w:cs="Times New Roman"/>
          <w:lang w:val="ru-RU"/>
        </w:rPr>
        <w:t>Турция, Пакистан, Ирак и Армения закры</w:t>
      </w:r>
      <w:r w:rsidR="00E60A03">
        <w:rPr>
          <w:rFonts w:cs="Times New Roman"/>
          <w:lang w:val="ru-RU"/>
        </w:rPr>
        <w:t>ли</w:t>
      </w:r>
      <w:r w:rsidRPr="0084562A">
        <w:rPr>
          <w:rFonts w:cs="Times New Roman"/>
          <w:lang w:val="ru-RU"/>
        </w:rPr>
        <w:t xml:space="preserve"> границы с </w:t>
      </w:r>
      <w:r>
        <w:rPr>
          <w:rFonts w:cs="Times New Roman"/>
          <w:lang w:val="ru-RU"/>
        </w:rPr>
        <w:t>Ираном</w:t>
      </w:r>
      <w:r w:rsidRPr="0084562A">
        <w:rPr>
          <w:rFonts w:cs="Times New Roman"/>
          <w:lang w:val="ru-RU"/>
        </w:rPr>
        <w:t>. Грузия вв</w:t>
      </w:r>
      <w:r w:rsidR="00E60A03">
        <w:rPr>
          <w:rFonts w:cs="Times New Roman"/>
          <w:lang w:val="ru-RU"/>
        </w:rPr>
        <w:t>ела</w:t>
      </w:r>
      <w:r w:rsidRPr="0084562A">
        <w:rPr>
          <w:rFonts w:cs="Times New Roman"/>
          <w:lang w:val="ru-RU"/>
        </w:rPr>
        <w:t xml:space="preserve"> строгий контроль на КПП и ограничивает авиасообщение. Также приостановлено движение пассажирского транспорта между Ираном и Афганистаном. </w:t>
      </w:r>
    </w:p>
    <w:sectPr w:rsidR="00B14EC6" w:rsidRPr="0084562A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8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grammar="clean"/>
  <w:defaultTabStop w:val="708"/>
  <w:characterSpacingControl w:val="doNotCompress"/>
  <w:savePreviewPicture/>
  <w:compat/>
  <w:rsids>
    <w:rsidRoot w:val="00250D64"/>
    <w:rsid w:val="000113DC"/>
    <w:rsid w:val="0002725E"/>
    <w:rsid w:val="00030C8B"/>
    <w:rsid w:val="00067FB5"/>
    <w:rsid w:val="00077791"/>
    <w:rsid w:val="00081163"/>
    <w:rsid w:val="00101878"/>
    <w:rsid w:val="001435E7"/>
    <w:rsid w:val="00167B03"/>
    <w:rsid w:val="001F5A64"/>
    <w:rsid w:val="00210628"/>
    <w:rsid w:val="002139D4"/>
    <w:rsid w:val="00224A91"/>
    <w:rsid w:val="00250D64"/>
    <w:rsid w:val="002528A5"/>
    <w:rsid w:val="00257818"/>
    <w:rsid w:val="002623E5"/>
    <w:rsid w:val="0026299B"/>
    <w:rsid w:val="00264197"/>
    <w:rsid w:val="002821B8"/>
    <w:rsid w:val="0028484C"/>
    <w:rsid w:val="00295E30"/>
    <w:rsid w:val="002A581B"/>
    <w:rsid w:val="002C1C42"/>
    <w:rsid w:val="002E2670"/>
    <w:rsid w:val="002F2E76"/>
    <w:rsid w:val="0036423A"/>
    <w:rsid w:val="00365794"/>
    <w:rsid w:val="003720B7"/>
    <w:rsid w:val="003C375D"/>
    <w:rsid w:val="003E6FEA"/>
    <w:rsid w:val="00414E44"/>
    <w:rsid w:val="00471290"/>
    <w:rsid w:val="004E300C"/>
    <w:rsid w:val="004E666D"/>
    <w:rsid w:val="00506900"/>
    <w:rsid w:val="00506CED"/>
    <w:rsid w:val="00513EEE"/>
    <w:rsid w:val="00543039"/>
    <w:rsid w:val="00584753"/>
    <w:rsid w:val="00593916"/>
    <w:rsid w:val="005B1441"/>
    <w:rsid w:val="005C64E6"/>
    <w:rsid w:val="005F280C"/>
    <w:rsid w:val="005F3E92"/>
    <w:rsid w:val="006626C2"/>
    <w:rsid w:val="006659F8"/>
    <w:rsid w:val="006C3E78"/>
    <w:rsid w:val="006F17AF"/>
    <w:rsid w:val="006F238F"/>
    <w:rsid w:val="006F6261"/>
    <w:rsid w:val="007068BF"/>
    <w:rsid w:val="00714952"/>
    <w:rsid w:val="0073697B"/>
    <w:rsid w:val="00740E66"/>
    <w:rsid w:val="00752E29"/>
    <w:rsid w:val="007759BE"/>
    <w:rsid w:val="0078249C"/>
    <w:rsid w:val="007C5907"/>
    <w:rsid w:val="007F5E09"/>
    <w:rsid w:val="00824A7A"/>
    <w:rsid w:val="00831787"/>
    <w:rsid w:val="0083436C"/>
    <w:rsid w:val="008926B2"/>
    <w:rsid w:val="008A40FA"/>
    <w:rsid w:val="008E3E21"/>
    <w:rsid w:val="009472E7"/>
    <w:rsid w:val="009F5C22"/>
    <w:rsid w:val="00A02174"/>
    <w:rsid w:val="00A275A2"/>
    <w:rsid w:val="00A304AB"/>
    <w:rsid w:val="00A74AE6"/>
    <w:rsid w:val="00AA5000"/>
    <w:rsid w:val="00AD4D58"/>
    <w:rsid w:val="00B02E11"/>
    <w:rsid w:val="00B14EC6"/>
    <w:rsid w:val="00B5386F"/>
    <w:rsid w:val="00B657F5"/>
    <w:rsid w:val="00B679C4"/>
    <w:rsid w:val="00B80D17"/>
    <w:rsid w:val="00B9243C"/>
    <w:rsid w:val="00BA636B"/>
    <w:rsid w:val="00BC0E00"/>
    <w:rsid w:val="00BC3698"/>
    <w:rsid w:val="00BC44AB"/>
    <w:rsid w:val="00BD3F50"/>
    <w:rsid w:val="00BE3CAC"/>
    <w:rsid w:val="00C1207D"/>
    <w:rsid w:val="00C13B78"/>
    <w:rsid w:val="00C16001"/>
    <w:rsid w:val="00CB2E32"/>
    <w:rsid w:val="00CB5AFD"/>
    <w:rsid w:val="00D03964"/>
    <w:rsid w:val="00D12D80"/>
    <w:rsid w:val="00D46B38"/>
    <w:rsid w:val="00D47789"/>
    <w:rsid w:val="00D9614E"/>
    <w:rsid w:val="00DB0242"/>
    <w:rsid w:val="00DB69E3"/>
    <w:rsid w:val="00DB7940"/>
    <w:rsid w:val="00DC6C6C"/>
    <w:rsid w:val="00DD0B57"/>
    <w:rsid w:val="00DF0669"/>
    <w:rsid w:val="00E10BEC"/>
    <w:rsid w:val="00E15D7E"/>
    <w:rsid w:val="00E54B15"/>
    <w:rsid w:val="00E60A03"/>
    <w:rsid w:val="00E77491"/>
    <w:rsid w:val="00EA0A01"/>
    <w:rsid w:val="00ED1A2C"/>
    <w:rsid w:val="00EE3CAE"/>
    <w:rsid w:val="00F13834"/>
    <w:rsid w:val="00F25CA6"/>
    <w:rsid w:val="00F60993"/>
    <w:rsid w:val="00F650EC"/>
    <w:rsid w:val="00F801CC"/>
    <w:rsid w:val="00F8132F"/>
    <w:rsid w:val="00F92544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2A03-8D63-4252-B81F-6F12DF08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3</cp:revision>
  <cp:lastPrinted>2020-03-03T04:16:00Z</cp:lastPrinted>
  <dcterms:created xsi:type="dcterms:W3CDTF">2020-03-03T05:40:00Z</dcterms:created>
  <dcterms:modified xsi:type="dcterms:W3CDTF">2020-03-03T05:40:00Z</dcterms:modified>
</cp:coreProperties>
</file>