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BB" w:rsidRPr="00B169BB" w:rsidRDefault="00B169BB" w:rsidP="00B169BB">
      <w:pPr>
        <w:spacing w:line="276" w:lineRule="auto"/>
        <w:jc w:val="right"/>
        <w:rPr>
          <w:rFonts w:cs="Times New Roman"/>
        </w:rPr>
      </w:pPr>
      <w:r w:rsidRPr="00B169BB">
        <w:rPr>
          <w:rFonts w:cs="Times New Roman"/>
        </w:rPr>
        <w:t>Информация подготовлена ФКУЗ РосНИПЧИ «Микроб»</w:t>
      </w:r>
    </w:p>
    <w:p w:rsidR="00B169BB" w:rsidRDefault="00B169BB" w:rsidP="00B169BB">
      <w:pPr>
        <w:spacing w:line="276" w:lineRule="auto"/>
        <w:jc w:val="both"/>
        <w:rPr>
          <w:rFonts w:cs="Times New Roman"/>
          <w:lang w:val="ru-RU"/>
        </w:rPr>
      </w:pPr>
    </w:p>
    <w:p w:rsidR="00B169BB" w:rsidRPr="00B169BB" w:rsidRDefault="00B169BB" w:rsidP="00B169BB">
      <w:pPr>
        <w:spacing w:line="276" w:lineRule="auto"/>
        <w:jc w:val="center"/>
        <w:rPr>
          <w:rFonts w:cs="Times New Roman"/>
          <w:b/>
        </w:rPr>
      </w:pPr>
      <w:r w:rsidRPr="00B169BB">
        <w:rPr>
          <w:rFonts w:cs="Times New Roman"/>
          <w:b/>
        </w:rPr>
        <w:t>Эпидемиологическая обстановка и распространение COVID-19 в мире</w:t>
      </w:r>
    </w:p>
    <w:p w:rsidR="00B169BB" w:rsidRPr="00B169BB" w:rsidRDefault="00B169BB" w:rsidP="00B169BB">
      <w:pPr>
        <w:spacing w:line="276" w:lineRule="auto"/>
        <w:jc w:val="center"/>
        <w:rPr>
          <w:rFonts w:cs="Times New Roman"/>
          <w:b/>
        </w:rPr>
      </w:pPr>
      <w:r w:rsidRPr="00B169BB">
        <w:rPr>
          <w:rFonts w:cs="Times New Roman"/>
          <w:b/>
        </w:rPr>
        <w:t>по состоянию на 08.00 (МСК) от 04.03.2020 г.</w:t>
      </w:r>
    </w:p>
    <w:p w:rsidR="00B169BB" w:rsidRPr="00B169BB" w:rsidRDefault="00B169BB" w:rsidP="00B169BB">
      <w:pPr>
        <w:spacing w:line="276" w:lineRule="auto"/>
        <w:jc w:val="both"/>
        <w:rPr>
          <w:rFonts w:cs="Times New Roman"/>
        </w:rPr>
      </w:pPr>
    </w:p>
    <w:p w:rsidR="00B169BB" w:rsidRPr="00B169BB" w:rsidRDefault="00B169BB" w:rsidP="00B169BB">
      <w:pPr>
        <w:pStyle w:val="a6"/>
        <w:numPr>
          <w:ilvl w:val="0"/>
          <w:numId w:val="19"/>
        </w:numPr>
        <w:spacing w:line="276" w:lineRule="auto"/>
        <w:ind w:left="284"/>
        <w:jc w:val="both"/>
        <w:rPr>
          <w:rFonts w:cs="Times New Roman"/>
        </w:rPr>
      </w:pPr>
      <w:r w:rsidRPr="00B169BB">
        <w:rPr>
          <w:rFonts w:cs="Times New Roman"/>
        </w:rPr>
        <w:t xml:space="preserve">Согласно данным ежедневного отчёта Государственной Комиссии здравоохранения Китая по состоянию на 24.00 по Пекину 03.03.2020 г. (19.00 по мск) в целом в </w:t>
      </w:r>
      <w:r w:rsidRPr="00B169BB">
        <w:rPr>
          <w:rFonts w:cs="Times New Roman"/>
          <w:b/>
        </w:rPr>
        <w:t>КНР</w:t>
      </w:r>
      <w:r w:rsidRPr="00B169BB">
        <w:rPr>
          <w:rFonts w:cs="Times New Roman"/>
        </w:rPr>
        <w:t xml:space="preserve"> зарегистрировано случаев заболевания – </w:t>
      </w:r>
      <w:r w:rsidRPr="00B169BB">
        <w:rPr>
          <w:rFonts w:cs="Times New Roman"/>
          <w:b/>
        </w:rPr>
        <w:t>80422</w:t>
      </w:r>
      <w:r w:rsidRPr="00B169BB">
        <w:rPr>
          <w:rFonts w:cs="Times New Roman"/>
        </w:rPr>
        <w:t xml:space="preserve">. За сутки с 00.00 03.03.2020 по 00.00 (время Пекина) 04.03.2020 г. прирост составил 120 случаев (0,1%). </w:t>
      </w:r>
    </w:p>
    <w:p w:rsidR="00B169BB" w:rsidRPr="00B169BB" w:rsidRDefault="00B169BB" w:rsidP="00B169BB">
      <w:pPr>
        <w:pStyle w:val="a6"/>
        <w:numPr>
          <w:ilvl w:val="0"/>
          <w:numId w:val="19"/>
        </w:numPr>
        <w:spacing w:line="276" w:lineRule="auto"/>
        <w:ind w:left="284"/>
        <w:jc w:val="both"/>
        <w:rPr>
          <w:rFonts w:cs="Times New Roman"/>
        </w:rPr>
      </w:pPr>
      <w:r w:rsidRPr="00B169BB">
        <w:rPr>
          <w:rFonts w:cs="Times New Roman"/>
        </w:rPr>
        <w:t xml:space="preserve">Случаев с летальным исходом – 2984 (прирост 38; летальность 3,7%; вне провинции Хубэй – 0,86%). В тяжёлом состоянии находятся 6416 человек (8,0%). Выписано 49914 человек (прирост 2654; 6%). Отслежено контактных лиц - 666397 (1498 за последние сутки, прирост 0,2%), 36432 находятся под наблюдением. </w:t>
      </w:r>
    </w:p>
    <w:p w:rsidR="009A1190" w:rsidRPr="00B169BB" w:rsidRDefault="00B169BB" w:rsidP="00B169BB">
      <w:pPr>
        <w:pStyle w:val="a6"/>
        <w:numPr>
          <w:ilvl w:val="0"/>
          <w:numId w:val="19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B169BB">
        <w:rPr>
          <w:rFonts w:cs="Times New Roman"/>
        </w:rPr>
        <w:t xml:space="preserve">Всего в </w:t>
      </w:r>
      <w:r w:rsidRPr="00B169BB">
        <w:rPr>
          <w:rFonts w:cs="Times New Roman"/>
          <w:b/>
        </w:rPr>
        <w:t>мире</w:t>
      </w:r>
      <w:r w:rsidRPr="00B169BB">
        <w:rPr>
          <w:rFonts w:cs="Times New Roman"/>
        </w:rPr>
        <w:t xml:space="preserve"> по состоянию на 08.00 по мск 03.04.2020 г. из доступных источников известно о </w:t>
      </w:r>
      <w:r w:rsidRPr="00B169BB">
        <w:rPr>
          <w:rFonts w:cs="Times New Roman"/>
          <w:b/>
        </w:rPr>
        <w:t>93083</w:t>
      </w:r>
      <w:r w:rsidRPr="00B169BB">
        <w:rPr>
          <w:rFonts w:cs="Times New Roman"/>
        </w:rPr>
        <w:t xml:space="preserve"> подтверждённых случаях (прирост за сутки 2157 случаев; 2,4%). В 76 странах мира вне КНР зарегистрировано 12661 случаев (за последние сутки прирост 2037; 19,2%).</w:t>
      </w:r>
    </w:p>
    <w:p w:rsidR="009A1190" w:rsidRPr="00B169BB" w:rsidRDefault="009A1190" w:rsidP="009A1190">
      <w:pPr>
        <w:spacing w:line="276" w:lineRule="auto"/>
        <w:jc w:val="both"/>
        <w:rPr>
          <w:rFonts w:cs="Times New Roman"/>
          <w:lang w:val="ru-RU"/>
        </w:rPr>
      </w:pPr>
    </w:p>
    <w:p w:rsidR="00B657F5" w:rsidRPr="00AA5000" w:rsidRDefault="00AA5000" w:rsidP="00B169BB">
      <w:pPr>
        <w:pStyle w:val="a6"/>
        <w:numPr>
          <w:ilvl w:val="0"/>
          <w:numId w:val="18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AA5000">
        <w:rPr>
          <w:rFonts w:cs="Times New Roman"/>
        </w:rPr>
        <w:t>За последние сутки впервые случаи зарегистрированы в</w:t>
      </w:r>
      <w:r w:rsidR="009A1190">
        <w:rPr>
          <w:rFonts w:cs="Times New Roman"/>
          <w:lang w:val="ru-RU"/>
        </w:rPr>
        <w:t xml:space="preserve"> Лихтенштейне (1), Украине (1, завоз из Италии), Чили (1, завоз из Сингапура), Аргентине (1, завоз из Италии). </w:t>
      </w: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B169BB" w:rsidRPr="007E6987" w:rsidTr="00B169B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169BB" w:rsidRPr="007E6987" w:rsidRDefault="00B169BB" w:rsidP="00B169B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169BB" w:rsidRPr="007E6987" w:rsidRDefault="00B169BB" w:rsidP="00B169B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169BB" w:rsidRPr="007E6987" w:rsidRDefault="00B169BB" w:rsidP="00B169B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169BB" w:rsidRPr="007E6987" w:rsidRDefault="00B169BB" w:rsidP="00B169B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169BB" w:rsidRPr="007E6987" w:rsidRDefault="00B169BB" w:rsidP="00B169B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169BB" w:rsidRPr="007E6987" w:rsidRDefault="00B169BB" w:rsidP="00B169B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169BB" w:rsidRPr="007E6987" w:rsidRDefault="00B169BB" w:rsidP="00B169B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Летальность</w:t>
            </w:r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B169BB" w:rsidRPr="007E6987" w:rsidTr="00B169B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169BB" w:rsidRPr="007E6987" w:rsidRDefault="00B169BB" w:rsidP="00B169B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80422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120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0,1%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2984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38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</w:tr>
      <w:tr w:rsidR="00B169BB" w:rsidRPr="007E6987" w:rsidTr="00B169B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169BB" w:rsidRPr="007E6987" w:rsidRDefault="00B169BB" w:rsidP="00B169B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12661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2037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19,2%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219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1,7%</w:t>
            </w:r>
            <w:r>
              <w:rPr>
                <w:rFonts w:cs="Times New Roman"/>
              </w:rPr>
              <w:fldChar w:fldCharType="end"/>
            </w:r>
          </w:p>
        </w:tc>
      </w:tr>
      <w:tr w:rsidR="00B169BB" w:rsidRPr="007E6987" w:rsidTr="00B169B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169BB" w:rsidRPr="007E6987" w:rsidRDefault="00B169BB" w:rsidP="00B169B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93083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2157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2,4%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3203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169BB" w:rsidRPr="00754B69" w:rsidRDefault="00754B6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169BB" w:rsidRPr="007E6987" w:rsidRDefault="000A03F9" w:rsidP="00B169B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169BB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B169BB" w:rsidRPr="000A66E1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9A1190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79340" cy="2505075"/>
            <wp:effectExtent l="0" t="0" r="0" b="0"/>
            <wp:docPr id="4" name="Рисунок 1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Default="00B169BB" w:rsidP="00DB7940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47485" cy="3365500"/>
            <wp:effectExtent l="19050" t="0" r="571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Default="00DB7940" w:rsidP="00DB7940">
      <w:pPr>
        <w:rPr>
          <w:lang w:val="en-US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Ind w:w="-1606" w:type="dxa"/>
        <w:tblLayout w:type="fixed"/>
        <w:tblLook w:val="04A0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>Количество случаев</w:t>
            </w:r>
          </w:p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80422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1903E4" w:rsidRPr="00710A4D" w:rsidRDefault="001903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706</w:t>
            </w:r>
            <w:r w:rsidR="00710A4D">
              <w:rPr>
                <w:color w:val="000000"/>
                <w:lang w:val="ru-RU"/>
              </w:rPr>
              <w:t>*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5328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903E4" w:rsidRPr="00ED1A2C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903E4" w:rsidRPr="00F25CA6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Индонезия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1903E4" w:rsidRPr="00710A4D" w:rsidRDefault="00710A4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6**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Default="001903E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Pr="00B679C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Андорра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Португалия</w:t>
            </w:r>
          </w:p>
        </w:tc>
        <w:tc>
          <w:tcPr>
            <w:tcW w:w="1548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Default="001903E4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Латвия</w:t>
            </w:r>
          </w:p>
        </w:tc>
        <w:tc>
          <w:tcPr>
            <w:tcW w:w="1548" w:type="dxa"/>
            <w:vAlign w:val="bottom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Default="001903E4" w:rsidP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 w:rsidP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903E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1903E4" w:rsidRPr="001903E4" w:rsidRDefault="001903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Украина</w:t>
            </w:r>
          </w:p>
        </w:tc>
        <w:tc>
          <w:tcPr>
            <w:tcW w:w="1548" w:type="dxa"/>
            <w:vAlign w:val="bottom"/>
          </w:tcPr>
          <w:p w:rsidR="001903E4" w:rsidRPr="001903E4" w:rsidRDefault="001903E4" w:rsidP="00B169B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1903E4" w:rsidRPr="001903E4" w:rsidRDefault="001903E4" w:rsidP="00B169B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903E4" w:rsidRDefault="001903E4" w:rsidP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903E4" w:rsidRDefault="001903E4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1903E4" w:rsidRPr="001903E4" w:rsidRDefault="001903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Лихтенштейн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1903E4" w:rsidRPr="001903E4" w:rsidRDefault="001903E4" w:rsidP="00B169B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1903E4" w:rsidRPr="001903E4" w:rsidRDefault="001903E4" w:rsidP="00B169B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1903E4" w:rsidRDefault="001903E4" w:rsidP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03E4" w:rsidRPr="00B679C4" w:rsidRDefault="001903E4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03E4" w:rsidRPr="00B679C4" w:rsidRDefault="001903E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03E4" w:rsidRPr="00B679C4" w:rsidRDefault="001903E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03E4" w:rsidRPr="00B679C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03E4" w:rsidRPr="00B679C4" w:rsidRDefault="001903E4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Доминиканская Республика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1903E4" w:rsidRDefault="001903E4" w:rsidP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903E4" w:rsidRDefault="001903E4" w:rsidP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03E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903E4" w:rsidRPr="001903E4" w:rsidRDefault="001903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Аргентина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1903E4" w:rsidRPr="001903E4" w:rsidRDefault="001903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1903E4" w:rsidRPr="001903E4" w:rsidRDefault="001903E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903E4" w:rsidRDefault="001903E4" w:rsidP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903E4" w:rsidRDefault="001903E4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1903E4" w:rsidRPr="001903E4" w:rsidRDefault="001903E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Чили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1903E4" w:rsidRPr="001903E4" w:rsidRDefault="001903E4" w:rsidP="00B169B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1903E4" w:rsidRPr="001903E4" w:rsidRDefault="001903E4" w:rsidP="00B169B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1903E4" w:rsidRDefault="001903E4" w:rsidP="00B16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1903E4" w:rsidRDefault="001903E4" w:rsidP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Иордания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Тунис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Саудовская Аравия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B169BB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1903E4" w:rsidRPr="00B679C4" w:rsidRDefault="001903E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Морокко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1903E4" w:rsidRPr="00B679C4" w:rsidRDefault="001903E4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1903E4" w:rsidRPr="00B679C4" w:rsidRDefault="001903E4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Pr="00B679C4" w:rsidRDefault="001903E4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Сенегал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3E4" w:rsidRDefault="001903E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1903E4" w:rsidRPr="00B679C4" w:rsidTr="00167B03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1903E4" w:rsidRPr="00B679C4" w:rsidRDefault="001903E4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1903E4" w:rsidRPr="00B679C4" w:rsidRDefault="001903E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bottom"/>
          </w:tcPr>
          <w:p w:rsidR="001903E4" w:rsidRPr="00167B03" w:rsidRDefault="00B169BB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93083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bottom"/>
          </w:tcPr>
          <w:p w:rsidR="001903E4" w:rsidRPr="00167B03" w:rsidRDefault="00B169BB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2157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  <w:vAlign w:val="bottom"/>
          </w:tcPr>
          <w:p w:rsidR="001903E4" w:rsidRPr="00167B03" w:rsidRDefault="00B169BB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3203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bottom"/>
          </w:tcPr>
          <w:p w:rsidR="001903E4" w:rsidRPr="00167B03" w:rsidRDefault="00B169BB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</w:t>
            </w:r>
          </w:p>
        </w:tc>
      </w:tr>
    </w:tbl>
    <w:p w:rsidR="00DB7940" w:rsidRDefault="00DB7940" w:rsidP="00DB7940">
      <w:pPr>
        <w:rPr>
          <w:lang w:val="en-US"/>
        </w:rPr>
      </w:pPr>
    </w:p>
    <w:p w:rsidR="00710A4D" w:rsidRDefault="00710A4D" w:rsidP="00DB7940">
      <w:pPr>
        <w:rPr>
          <w:lang w:val="ru-RU"/>
        </w:rPr>
      </w:pPr>
      <w:r>
        <w:rPr>
          <w:lang w:val="ru-RU"/>
        </w:rPr>
        <w:t>*</w:t>
      </w:r>
      <w:r w:rsidRPr="00710A4D">
        <w:rPr>
          <w:lang w:val="ru-RU"/>
        </w:rPr>
        <w:t xml:space="preserve"> В общее количество случаев на лайнере </w:t>
      </w:r>
      <w:r>
        <w:rPr>
          <w:lang w:val="en-US"/>
        </w:rPr>
        <w:t>Diamond</w:t>
      </w:r>
      <w:r w:rsidRPr="00710A4D">
        <w:rPr>
          <w:lang w:val="ru-RU"/>
        </w:rPr>
        <w:t xml:space="preserve"> </w:t>
      </w:r>
      <w:r>
        <w:rPr>
          <w:lang w:val="en-US"/>
        </w:rPr>
        <w:t>Princess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включены</w:t>
      </w:r>
      <w:proofErr w:type="gramEnd"/>
      <w:r>
        <w:rPr>
          <w:lang w:val="ru-RU"/>
        </w:rPr>
        <w:t xml:space="preserve"> 3 эвакуированных россиян</w:t>
      </w:r>
      <w:r w:rsidR="000315DF">
        <w:rPr>
          <w:lang w:val="ru-RU"/>
        </w:rPr>
        <w:t>ина</w:t>
      </w:r>
      <w:r>
        <w:rPr>
          <w:lang w:val="ru-RU"/>
        </w:rPr>
        <w:t xml:space="preserve"> </w:t>
      </w:r>
    </w:p>
    <w:p w:rsidR="00710A4D" w:rsidRPr="00710A4D" w:rsidRDefault="00710A4D" w:rsidP="00710A4D">
      <w:pPr>
        <w:rPr>
          <w:lang w:val="ru-RU"/>
        </w:rPr>
      </w:pPr>
      <w:r w:rsidRPr="00710A4D">
        <w:rPr>
          <w:lang w:val="ru-RU"/>
        </w:rPr>
        <w:t xml:space="preserve">** </w:t>
      </w:r>
      <w:r>
        <w:rPr>
          <w:lang w:val="ru-RU"/>
        </w:rPr>
        <w:t xml:space="preserve">В общее количество случаев в России </w:t>
      </w:r>
      <w:proofErr w:type="gramStart"/>
      <w:r>
        <w:rPr>
          <w:lang w:val="ru-RU"/>
        </w:rPr>
        <w:t>включены</w:t>
      </w:r>
      <w:proofErr w:type="gramEnd"/>
      <w:r>
        <w:rPr>
          <w:lang w:val="ru-RU"/>
        </w:rPr>
        <w:t xml:space="preserve"> 2 завозных случая из КНР, 1 завозной случай из Италии, 3 случая у граждан России, эвакуированных с лайнера </w:t>
      </w:r>
      <w:r>
        <w:rPr>
          <w:lang w:val="en-US"/>
        </w:rPr>
        <w:t>Diamond</w:t>
      </w:r>
      <w:r w:rsidRPr="00710A4D">
        <w:rPr>
          <w:lang w:val="ru-RU"/>
        </w:rPr>
        <w:t xml:space="preserve"> </w:t>
      </w:r>
      <w:r>
        <w:rPr>
          <w:lang w:val="en-US"/>
        </w:rPr>
        <w:t>Princess</w:t>
      </w:r>
    </w:p>
    <w:p w:rsidR="00710A4D" w:rsidRPr="00710A4D" w:rsidRDefault="00710A4D" w:rsidP="00DB7940">
      <w:pPr>
        <w:rPr>
          <w:lang w:val="ru-RU"/>
        </w:rPr>
      </w:pPr>
    </w:p>
    <w:p w:rsidR="00DB7940" w:rsidRPr="00710A4D" w:rsidRDefault="00DB7940" w:rsidP="00DB7940">
      <w:pPr>
        <w:rPr>
          <w:lang w:val="ru-RU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B169BB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29416" cy="2792482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637" cy="279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B169B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3675" cy="3157855"/>
            <wp:effectExtent l="19050" t="0" r="317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F5" w:rsidRDefault="00B657F5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</w:rPr>
        <w:t xml:space="preserve">Рис.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 w:rsidR="009A1190">
        <w:rPr>
          <w:rFonts w:cs="Times New Roman"/>
          <w:b/>
          <w:lang w:val="ru-RU"/>
        </w:rPr>
        <w:t>04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67332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1213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9A119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9A1190" w:rsidRDefault="009A11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9A1190" w:rsidRDefault="009A11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9A1190" w:rsidRDefault="009A11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169BB" w:rsidRPr="00517B1C" w:rsidTr="00167B03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B169BB" w:rsidRPr="00517B1C" w:rsidRDefault="00B169BB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vAlign w:val="bottom"/>
            <w:hideMark/>
          </w:tcPr>
          <w:p w:rsidR="00B169BB" w:rsidRDefault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80422</w:t>
            </w:r>
          </w:p>
        </w:tc>
        <w:tc>
          <w:tcPr>
            <w:tcW w:w="1197" w:type="dxa"/>
            <w:noWrap/>
            <w:vAlign w:val="bottom"/>
            <w:hideMark/>
          </w:tcPr>
          <w:p w:rsidR="00B169BB" w:rsidRDefault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6" w:type="dxa"/>
            <w:noWrap/>
            <w:vAlign w:val="bottom"/>
            <w:hideMark/>
          </w:tcPr>
          <w:p w:rsidR="00B169BB" w:rsidRDefault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2984</w:t>
            </w:r>
          </w:p>
        </w:tc>
        <w:tc>
          <w:tcPr>
            <w:tcW w:w="1208" w:type="dxa"/>
            <w:noWrap/>
            <w:vAlign w:val="bottom"/>
            <w:hideMark/>
          </w:tcPr>
          <w:p w:rsidR="00B169BB" w:rsidRDefault="00B169B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C5781C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4596765" cy="276796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196" w:rsidRP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D37196" w:rsidRDefault="00D3719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37196" w:rsidRDefault="00D3719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357353" w:rsidRPr="00F35126" w:rsidRDefault="00357353" w:rsidP="00F35126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(62%), Эмилия-Романья (16,5%) и Венето (13,5%).</w:t>
      </w:r>
    </w:p>
    <w:p w:rsidR="00357353" w:rsidRPr="00F35126" w:rsidRDefault="00357353" w:rsidP="00F35126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На текущий момент ограничительные меры касаются населённых пунктов Ломбардии (Казальпустерленго, Кодоньо, Кастильоне-д'Адда, Фомбьо, Малео, Сомалья, Бертонико, Терранова-дей-Пассерини, Кастелджерундо и Сан-Фьорано, Лоди), а также </w:t>
      </w:r>
      <w:proofErr w:type="gramStart"/>
      <w:r w:rsidRPr="00F35126">
        <w:rPr>
          <w:color w:val="000000"/>
        </w:rPr>
        <w:t>г</w:t>
      </w:r>
      <w:proofErr w:type="gramEnd"/>
      <w:r w:rsidRPr="00F35126">
        <w:rPr>
          <w:color w:val="000000"/>
        </w:rPr>
        <w:t xml:space="preserve">. Во Эуганео в Падуе (Венето). Часть регионов Италии приостановила работу школ и университетов. Крупные компании разрешили сотрудникам работать из дома.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C5781C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F35126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>%) и окружающей его провинции Кёнсан-Пукто</w:t>
      </w:r>
      <w:r>
        <w:rPr>
          <w:rFonts w:cs="Times New Roman"/>
          <w:lang w:val="ru-RU"/>
        </w:rPr>
        <w:t xml:space="preserve"> (14%)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56% всех заболевших входят в кластер, связанный с сектой Синхонджи. </w:t>
      </w:r>
    </w:p>
    <w:p w:rsidR="00AD4670" w:rsidRDefault="00052F9B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Хубэй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</w:t>
      </w:r>
      <w:r w:rsidR="001D403D">
        <w:rPr>
          <w:rFonts w:cs="Times New Roman"/>
          <w:lang w:val="ru-RU"/>
        </w:rPr>
        <w:t xml:space="preserve">Все детские сады и школы в стране отложили начало занятий до 09.03.20. В </w:t>
      </w:r>
      <w:proofErr w:type="gramStart"/>
      <w:r w:rsidR="001D403D">
        <w:rPr>
          <w:rFonts w:cs="Times New Roman"/>
          <w:lang w:val="ru-RU"/>
        </w:rPr>
        <w:t>г</w:t>
      </w:r>
      <w:proofErr w:type="gramEnd"/>
      <w:r w:rsidR="001D403D">
        <w:rPr>
          <w:rFonts w:cs="Times New Roman"/>
          <w:lang w:val="ru-RU"/>
        </w:rPr>
        <w:t xml:space="preserve">. Тэгу приостановлен призыв в армию. </w:t>
      </w:r>
    </w:p>
    <w:p w:rsidR="00052F9B" w:rsidRDefault="00052F9B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C5781C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992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AD4670" w:rsidRDefault="00AD4670" w:rsidP="00BC011F">
      <w:pPr>
        <w:pStyle w:val="a6"/>
        <w:shd w:val="clear" w:color="auto" w:fill="FFFFFF"/>
        <w:spacing w:before="180" w:line="276" w:lineRule="auto"/>
        <w:ind w:left="0" w:right="-851" w:firstLine="567"/>
        <w:jc w:val="center"/>
        <w:rPr>
          <w:rFonts w:cs="Times New Roman"/>
          <w:b/>
          <w:lang w:val="ru-RU"/>
        </w:rPr>
      </w:pPr>
    </w:p>
    <w:p w:rsidR="00AD4670" w:rsidRDefault="00AD4670" w:rsidP="004B60A5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4B60A5" w:rsidRDefault="004B60A5" w:rsidP="004B60A5">
      <w:pPr>
        <w:pStyle w:val="a6"/>
        <w:shd w:val="clear" w:color="auto" w:fill="FFFFFF"/>
        <w:spacing w:before="180" w:line="276" w:lineRule="auto"/>
        <w:ind w:left="-709" w:right="-851" w:firstLine="1417"/>
        <w:rPr>
          <w:rFonts w:cs="Times New Roman"/>
          <w:lang w:val="ru-RU"/>
        </w:rPr>
      </w:pPr>
      <w:r>
        <w:rPr>
          <w:rFonts w:cs="Times New Roman"/>
          <w:lang w:val="ru-RU"/>
        </w:rPr>
        <w:t>В И</w:t>
      </w:r>
      <w:r w:rsidRPr="004B60A5">
        <w:rPr>
          <w:rFonts w:cs="Times New Roman"/>
          <w:lang w:val="ru-RU"/>
        </w:rPr>
        <w:t xml:space="preserve">ране </w:t>
      </w:r>
      <w:r>
        <w:rPr>
          <w:rFonts w:cs="Times New Roman"/>
          <w:lang w:val="ru-RU"/>
        </w:rPr>
        <w:t xml:space="preserve">большинство случаев зарегистрировано в провинции Тегеран (41%). </w:t>
      </w:r>
    </w:p>
    <w:p w:rsidR="004B60A5" w:rsidRPr="004B60A5" w:rsidRDefault="004B60A5" w:rsidP="004B60A5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="005A1441">
        <w:rPr>
          <w:rFonts w:cs="Times New Roman"/>
          <w:lang w:val="ru-RU"/>
        </w:rPr>
        <w:t>С 27.02 Иран запретил въе</w:t>
      </w:r>
      <w:proofErr w:type="gramStart"/>
      <w:r w:rsidR="005A1441">
        <w:rPr>
          <w:rFonts w:cs="Times New Roman"/>
          <w:lang w:val="ru-RU"/>
        </w:rPr>
        <w:t>зд в стр</w:t>
      </w:r>
      <w:proofErr w:type="gramEnd"/>
      <w:r w:rsidR="005A1441">
        <w:rPr>
          <w:rFonts w:cs="Times New Roman"/>
          <w:lang w:val="ru-RU"/>
        </w:rPr>
        <w:t xml:space="preserve">ану для граждан Китая. </w:t>
      </w:r>
      <w:r>
        <w:rPr>
          <w:rFonts w:cs="Times New Roman"/>
          <w:lang w:val="ru-RU"/>
        </w:rPr>
        <w:t>В нескольких провинциях закрыты школы и университеты</w:t>
      </w:r>
      <w:r w:rsidR="005A1441">
        <w:rPr>
          <w:rFonts w:cs="Times New Roman"/>
          <w:lang w:val="ru-RU"/>
        </w:rPr>
        <w:t>, отменены спортивные состязания и культурные мероприятия</w:t>
      </w:r>
      <w:r>
        <w:rPr>
          <w:rFonts w:cs="Times New Roman"/>
          <w:lang w:val="ru-RU"/>
        </w:rPr>
        <w:t>. Ограничено посещение некоторых религиозных объектов</w:t>
      </w:r>
      <w:r w:rsidR="005A1441">
        <w:rPr>
          <w:rFonts w:cs="Times New Roman"/>
          <w:lang w:val="ru-RU"/>
        </w:rPr>
        <w:t xml:space="preserve"> в провинции Кум</w:t>
      </w:r>
      <w:r>
        <w:rPr>
          <w:rFonts w:cs="Times New Roman"/>
          <w:lang w:val="ru-RU"/>
        </w:rPr>
        <w:t xml:space="preserve">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C5781C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133340" cy="3017520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Японии </w:t>
      </w:r>
    </w:p>
    <w:p w:rsidR="00AD4670" w:rsidRP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</w:p>
    <w:p w:rsidR="00AD4670" w:rsidRDefault="00C5781C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 w:rsidRPr="00C5781C">
        <w:rPr>
          <w:rFonts w:cs="Times New Roman"/>
          <w:lang w:val="ru-RU"/>
        </w:rPr>
        <w:t xml:space="preserve">В Японии </w:t>
      </w:r>
      <w:r>
        <w:rPr>
          <w:rFonts w:cs="Times New Roman"/>
          <w:lang w:val="ru-RU"/>
        </w:rPr>
        <w:t xml:space="preserve">наибольшее количество случаев зарегистрировано в префектцрах Хоккайдо (29%), </w:t>
      </w:r>
      <w:r w:rsidR="00921B14">
        <w:rPr>
          <w:rFonts w:cs="Times New Roman"/>
          <w:lang w:val="ru-RU"/>
        </w:rPr>
        <w:t xml:space="preserve">Айти (15%). И Токио (15%). </w:t>
      </w:r>
    </w:p>
    <w:p w:rsidR="00921B14" w:rsidRDefault="00921B14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</w:p>
    <w:p w:rsidR="00921B14" w:rsidRPr="00C5781C" w:rsidRDefault="00921B14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Японии запрещён въезд лиц, находившихся ранее в провинциях Хубэй (с 01.02.20) и Шеньзцян (с 12.02.20) в КНР. В префектуре Хоккайдо введено чрезвычайное положение. Практически все регионы Японии отложили занятия в школах до начала апреля.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264197" w:rsidRPr="003C111B" w:rsidRDefault="00264197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 w:rsidRPr="003C111B">
        <w:rPr>
          <w:rFonts w:cs="Times New Roman"/>
          <w:b/>
          <w:lang w:val="ru-RU"/>
        </w:rPr>
        <w:t>Информация из ежедневных отчетов ВОЗ</w:t>
      </w:r>
    </w:p>
    <w:p w:rsidR="00EA0A01" w:rsidRDefault="00EA0A01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657F5" w:rsidRPr="00167B03" w:rsidRDefault="00921B14" w:rsidP="00EA0A01">
      <w:pPr>
        <w:pStyle w:val="a6"/>
        <w:spacing w:line="276" w:lineRule="auto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выражает беспокойство в связи с нарастанием количества </w:t>
      </w:r>
      <w:proofErr w:type="gramStart"/>
      <w:r>
        <w:rPr>
          <w:rFonts w:cs="Times New Roman"/>
          <w:lang w:val="ru-RU"/>
        </w:rPr>
        <w:t>заболевших</w:t>
      </w:r>
      <w:proofErr w:type="gramEnd"/>
      <w:r>
        <w:rPr>
          <w:rFonts w:cs="Times New Roman"/>
          <w:lang w:val="ru-RU"/>
        </w:rPr>
        <w:t xml:space="preserve"> в восточно-средиземноморском регионе. </w:t>
      </w:r>
    </w:p>
    <w:p w:rsidR="00167B03" w:rsidRDefault="00921B14" w:rsidP="00EA0A01">
      <w:pPr>
        <w:pStyle w:val="a6"/>
        <w:spacing w:line="276" w:lineRule="auto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>Офис ВОЗ в американском регионе разрабатывает комплексный план по поддержке  готовности</w:t>
      </w:r>
      <w:r w:rsidR="00CC335F">
        <w:rPr>
          <w:rFonts w:cs="Times New Roman"/>
          <w:lang w:val="ru-RU"/>
        </w:rPr>
        <w:t xml:space="preserve"> всех</w:t>
      </w:r>
      <w:r>
        <w:rPr>
          <w:rFonts w:cs="Times New Roman"/>
          <w:lang w:val="ru-RU"/>
        </w:rPr>
        <w:t xml:space="preserve"> стран региона. В Карибском регионе </w:t>
      </w:r>
      <w:r w:rsidR="00CC335F">
        <w:rPr>
          <w:rFonts w:cs="Times New Roman"/>
          <w:lang w:val="ru-RU"/>
        </w:rPr>
        <w:t xml:space="preserve">Барбадос стал одной из первых стран, получивших наборы для диагностики </w:t>
      </w:r>
      <w:r w:rsidR="00CC335F">
        <w:rPr>
          <w:rFonts w:cs="Times New Roman"/>
          <w:lang w:val="en-US"/>
        </w:rPr>
        <w:t>COVID</w:t>
      </w:r>
      <w:r w:rsidR="00CC335F" w:rsidRPr="00921B14">
        <w:rPr>
          <w:rFonts w:cs="Times New Roman"/>
          <w:lang w:val="ru-RU"/>
        </w:rPr>
        <w:t>-19</w:t>
      </w:r>
      <w:r w:rsidRPr="00921B14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B657F5" w:rsidRDefault="00B657F5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  <w:r w:rsidRPr="004921D9">
        <w:rPr>
          <w:rFonts w:cs="Times New Roman"/>
          <w:b/>
        </w:rPr>
        <w:t xml:space="preserve">Эпидемиологические и клинические характеристики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</w:p>
    <w:p w:rsidR="00B14EC6" w:rsidRPr="004921D9" w:rsidRDefault="00B14EC6" w:rsidP="00513EEE">
      <w:pPr>
        <w:numPr>
          <w:ilvl w:val="0"/>
          <w:numId w:val="7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>госпитализации -</w:t>
      </w:r>
      <w:r w:rsidRPr="00A275A2">
        <w:rPr>
          <w:rFonts w:cs="Times New Roman"/>
          <w:lang w:val="ru-RU"/>
        </w:rPr>
        <w:t xml:space="preserve"> </w:t>
      </w:r>
      <w:r w:rsidRPr="00A275A2">
        <w:rPr>
          <w:rFonts w:cs="Times New Roman"/>
        </w:rPr>
        <w:t>5.8 дней 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4921D9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>
        <w:rPr>
          <w:rFonts w:cs="Times New Roman"/>
          <w:lang w:val="ru-RU"/>
        </w:rPr>
        <w:t xml:space="preserve"> </w:t>
      </w:r>
    </w:p>
    <w:p w:rsidR="00B14EC6" w:rsidRPr="00A673D4" w:rsidRDefault="00B14EC6" w:rsidP="00B14EC6">
      <w:pPr>
        <w:numPr>
          <w:ilvl w:val="0"/>
          <w:numId w:val="5"/>
        </w:numPr>
        <w:shd w:val="clear" w:color="auto" w:fill="FFFFFF"/>
        <w:adjustRightInd w:val="0"/>
        <w:spacing w:after="300" w:line="276" w:lineRule="auto"/>
        <w:ind w:left="0" w:firstLine="0"/>
        <w:contextualSpacing/>
        <w:jc w:val="both"/>
        <w:rPr>
          <w:rFonts w:eastAsia="Times New Roman" w:cs="Times New Roman"/>
          <w:b/>
        </w:rPr>
      </w:pPr>
      <w:r w:rsidRPr="00A673D4">
        <w:rPr>
          <w:rFonts w:cs="Times New Roman"/>
        </w:rPr>
        <w:t xml:space="preserve">В г. Ухань </w:t>
      </w:r>
      <w:r w:rsidRPr="00A673D4">
        <w:rPr>
          <w:rFonts w:cs="Times New Roman"/>
          <w:lang w:val="ru-RU"/>
        </w:rPr>
        <w:t>больных принимают</w:t>
      </w:r>
      <w:r w:rsidRPr="00A673D4">
        <w:rPr>
          <w:rFonts w:cs="Times New Roman"/>
        </w:rPr>
        <w:t xml:space="preserve"> </w:t>
      </w:r>
      <w:r w:rsidRPr="00A673D4">
        <w:rPr>
          <w:rFonts w:cs="Times New Roman"/>
          <w:lang w:val="ru-RU"/>
        </w:rPr>
        <w:t>23</w:t>
      </w:r>
      <w:r w:rsidRPr="00A673D4">
        <w:rPr>
          <w:rFonts w:cs="Times New Roman"/>
        </w:rPr>
        <w:t xml:space="preserve"> госпитал</w:t>
      </w:r>
      <w:r w:rsidRPr="00A673D4">
        <w:rPr>
          <w:rFonts w:cs="Times New Roman"/>
          <w:lang w:val="ru-RU"/>
        </w:rPr>
        <w:t>я</w:t>
      </w:r>
      <w:r w:rsidRPr="00A673D4">
        <w:rPr>
          <w:rFonts w:cs="Times New Roman"/>
        </w:rPr>
        <w:t xml:space="preserve">, в 61 клинике ведется приём пациентов с подозрением на </w:t>
      </w:r>
      <w:r w:rsidRPr="00A673D4">
        <w:rPr>
          <w:rFonts w:cs="Times New Roman"/>
          <w:lang w:val="en-US"/>
        </w:rPr>
        <w:t>COVID</w:t>
      </w:r>
      <w:r w:rsidRPr="00A673D4">
        <w:rPr>
          <w:rFonts w:cs="Times New Roman"/>
        </w:rPr>
        <w:t xml:space="preserve">-19. В г. Ухань переоборудованы во временные госпитали </w:t>
      </w:r>
      <w:r w:rsidR="00584753" w:rsidRPr="00A673D4">
        <w:rPr>
          <w:rFonts w:cs="Times New Roman"/>
          <w:lang w:val="ru-RU"/>
        </w:rPr>
        <w:t>несколько общественных зданий</w:t>
      </w:r>
      <w:r w:rsidRPr="00A673D4">
        <w:rPr>
          <w:rFonts w:cs="Times New Roman"/>
        </w:rPr>
        <w:t xml:space="preserve">. </w:t>
      </w: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По данным South China Morning Post от 16.02.20, администрация провинции Хубэй запретила всем жителям региона, включая селян, выходить из домов. На улицах запрещено движение пешеходов и любого транспорта, кроме машин полиции и экстренных служб. Также запрещены сборы людей в развлекательных целях. За нарушение запрета на выход на улицу граждан могут задержать на срок до десяти суток. 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</w:t>
      </w:r>
      <w:proofErr w:type="gramEnd"/>
      <w:r w:rsidRPr="005B51FF">
        <w:rPr>
          <w:rFonts w:cs="Times New Roman"/>
          <w:lang w:val="ru-RU"/>
        </w:rPr>
        <w:t xml:space="preserve">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4"/>
  </w:num>
  <w:num w:numId="13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9"/>
  </w:num>
  <w:num w:numId="17">
    <w:abstractNumId w:val="15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savePreviewPicture/>
  <w:compat/>
  <w:rsids>
    <w:rsidRoot w:val="00250D64"/>
    <w:rsid w:val="000113DC"/>
    <w:rsid w:val="0002725E"/>
    <w:rsid w:val="000315DF"/>
    <w:rsid w:val="00052F9B"/>
    <w:rsid w:val="00067FB5"/>
    <w:rsid w:val="00077791"/>
    <w:rsid w:val="00081163"/>
    <w:rsid w:val="000A03F9"/>
    <w:rsid w:val="00101878"/>
    <w:rsid w:val="00130FC8"/>
    <w:rsid w:val="001435E7"/>
    <w:rsid w:val="00167B03"/>
    <w:rsid w:val="001903E4"/>
    <w:rsid w:val="001D403D"/>
    <w:rsid w:val="001F5A64"/>
    <w:rsid w:val="00210628"/>
    <w:rsid w:val="002139D4"/>
    <w:rsid w:val="00224A91"/>
    <w:rsid w:val="00250D64"/>
    <w:rsid w:val="002528A5"/>
    <w:rsid w:val="00257818"/>
    <w:rsid w:val="002623E5"/>
    <w:rsid w:val="0026299B"/>
    <w:rsid w:val="00263AAE"/>
    <w:rsid w:val="00264197"/>
    <w:rsid w:val="002821B8"/>
    <w:rsid w:val="0028484C"/>
    <w:rsid w:val="00295E30"/>
    <w:rsid w:val="002A581B"/>
    <w:rsid w:val="002C1C42"/>
    <w:rsid w:val="002E2670"/>
    <w:rsid w:val="002F2E76"/>
    <w:rsid w:val="00357353"/>
    <w:rsid w:val="0036423A"/>
    <w:rsid w:val="00365794"/>
    <w:rsid w:val="003720B7"/>
    <w:rsid w:val="00391C6F"/>
    <w:rsid w:val="003C375D"/>
    <w:rsid w:val="003E6FEA"/>
    <w:rsid w:val="00414E44"/>
    <w:rsid w:val="00471290"/>
    <w:rsid w:val="0048581E"/>
    <w:rsid w:val="004B60A5"/>
    <w:rsid w:val="004E300C"/>
    <w:rsid w:val="004E666D"/>
    <w:rsid w:val="00506900"/>
    <w:rsid w:val="00506CED"/>
    <w:rsid w:val="00513EEE"/>
    <w:rsid w:val="00543039"/>
    <w:rsid w:val="00584753"/>
    <w:rsid w:val="00593916"/>
    <w:rsid w:val="005A1441"/>
    <w:rsid w:val="005B1441"/>
    <w:rsid w:val="005C64E6"/>
    <w:rsid w:val="005F280C"/>
    <w:rsid w:val="005F3E92"/>
    <w:rsid w:val="006626C2"/>
    <w:rsid w:val="006659F8"/>
    <w:rsid w:val="006860F4"/>
    <w:rsid w:val="006C3E78"/>
    <w:rsid w:val="006F17AF"/>
    <w:rsid w:val="006F238F"/>
    <w:rsid w:val="006F6261"/>
    <w:rsid w:val="007068BF"/>
    <w:rsid w:val="00710A4D"/>
    <w:rsid w:val="00714952"/>
    <w:rsid w:val="0073697B"/>
    <w:rsid w:val="00740E66"/>
    <w:rsid w:val="00754B69"/>
    <w:rsid w:val="007759BE"/>
    <w:rsid w:val="0078249C"/>
    <w:rsid w:val="007C5907"/>
    <w:rsid w:val="007F5E09"/>
    <w:rsid w:val="00824A7A"/>
    <w:rsid w:val="00831787"/>
    <w:rsid w:val="0083436C"/>
    <w:rsid w:val="008926B2"/>
    <w:rsid w:val="008A40FA"/>
    <w:rsid w:val="008E3E21"/>
    <w:rsid w:val="00921B14"/>
    <w:rsid w:val="00941EE2"/>
    <w:rsid w:val="009472E7"/>
    <w:rsid w:val="00967367"/>
    <w:rsid w:val="009A1190"/>
    <w:rsid w:val="009F5C22"/>
    <w:rsid w:val="00A02174"/>
    <w:rsid w:val="00A275A2"/>
    <w:rsid w:val="00A304AB"/>
    <w:rsid w:val="00A673D4"/>
    <w:rsid w:val="00A74AE6"/>
    <w:rsid w:val="00AA5000"/>
    <w:rsid w:val="00AD4670"/>
    <w:rsid w:val="00AD4D58"/>
    <w:rsid w:val="00B02E11"/>
    <w:rsid w:val="00B126BC"/>
    <w:rsid w:val="00B14EC6"/>
    <w:rsid w:val="00B169BB"/>
    <w:rsid w:val="00B5386F"/>
    <w:rsid w:val="00B657F5"/>
    <w:rsid w:val="00B679C4"/>
    <w:rsid w:val="00B80D17"/>
    <w:rsid w:val="00B9243C"/>
    <w:rsid w:val="00BA636B"/>
    <w:rsid w:val="00BC011F"/>
    <w:rsid w:val="00BC0E00"/>
    <w:rsid w:val="00BC3698"/>
    <w:rsid w:val="00BC44AB"/>
    <w:rsid w:val="00BD3F50"/>
    <w:rsid w:val="00BE3CAC"/>
    <w:rsid w:val="00C1207D"/>
    <w:rsid w:val="00C13B78"/>
    <w:rsid w:val="00C16001"/>
    <w:rsid w:val="00C5781C"/>
    <w:rsid w:val="00CB2E32"/>
    <w:rsid w:val="00CB5AFD"/>
    <w:rsid w:val="00CC335F"/>
    <w:rsid w:val="00D03964"/>
    <w:rsid w:val="00D325C9"/>
    <w:rsid w:val="00D36956"/>
    <w:rsid w:val="00D37196"/>
    <w:rsid w:val="00D46B38"/>
    <w:rsid w:val="00D47789"/>
    <w:rsid w:val="00D9614E"/>
    <w:rsid w:val="00DB0242"/>
    <w:rsid w:val="00DB69E3"/>
    <w:rsid w:val="00DB7940"/>
    <w:rsid w:val="00DC6C6C"/>
    <w:rsid w:val="00DD0B57"/>
    <w:rsid w:val="00DF0669"/>
    <w:rsid w:val="00E10BEC"/>
    <w:rsid w:val="00E15D7E"/>
    <w:rsid w:val="00E54B15"/>
    <w:rsid w:val="00E60A03"/>
    <w:rsid w:val="00E77491"/>
    <w:rsid w:val="00EA0A01"/>
    <w:rsid w:val="00ED1A2C"/>
    <w:rsid w:val="00ED4246"/>
    <w:rsid w:val="00ED651F"/>
    <w:rsid w:val="00EE3CAE"/>
    <w:rsid w:val="00F13834"/>
    <w:rsid w:val="00F25CA6"/>
    <w:rsid w:val="00F26E38"/>
    <w:rsid w:val="00F35126"/>
    <w:rsid w:val="00F60993"/>
    <w:rsid w:val="00F650EC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EA86-0257-46B0-AC95-25CA240D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2020-03-03T04:16:00Z</cp:lastPrinted>
  <dcterms:created xsi:type="dcterms:W3CDTF">2020-03-04T06:25:00Z</dcterms:created>
  <dcterms:modified xsi:type="dcterms:W3CDTF">2020-03-04T06:25:00Z</dcterms:modified>
</cp:coreProperties>
</file>