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94" w:rsidRPr="00635B94" w:rsidRDefault="00635B94" w:rsidP="00635B94">
      <w:pPr>
        <w:spacing w:before="240" w:line="276" w:lineRule="auto"/>
        <w:ind w:left="-76"/>
        <w:jc w:val="right"/>
        <w:rPr>
          <w:rFonts w:cs="Times New Roman"/>
          <w:lang w:val="ru-RU"/>
        </w:rPr>
      </w:pPr>
      <w:r w:rsidRPr="00635B94">
        <w:rPr>
          <w:rFonts w:cs="Times New Roman"/>
          <w:lang w:val="ru-RU"/>
        </w:rPr>
        <w:t>Информация подготовлена ФКУЗ РосНИПЧИ «Микроб»</w:t>
      </w:r>
    </w:p>
    <w:p w:rsidR="00635B94" w:rsidRDefault="00635B94" w:rsidP="00635B94">
      <w:pPr>
        <w:spacing w:line="276" w:lineRule="auto"/>
        <w:ind w:left="-76"/>
        <w:jc w:val="both"/>
        <w:rPr>
          <w:rFonts w:cs="Times New Roman"/>
          <w:lang w:val="ru-RU"/>
        </w:rPr>
      </w:pPr>
    </w:p>
    <w:p w:rsidR="00635B94" w:rsidRPr="00635B94" w:rsidRDefault="00635B94" w:rsidP="00635B94">
      <w:pPr>
        <w:spacing w:line="276" w:lineRule="auto"/>
        <w:ind w:left="-76"/>
        <w:jc w:val="center"/>
        <w:rPr>
          <w:rFonts w:cs="Times New Roman"/>
          <w:b/>
          <w:lang w:val="ru-RU"/>
        </w:rPr>
      </w:pPr>
      <w:r w:rsidRPr="00635B94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635B94" w:rsidRPr="00635B94" w:rsidRDefault="00635B94" w:rsidP="00635B94">
      <w:pPr>
        <w:spacing w:line="276" w:lineRule="auto"/>
        <w:ind w:left="-76"/>
        <w:jc w:val="center"/>
        <w:rPr>
          <w:rFonts w:cs="Times New Roman"/>
          <w:b/>
          <w:lang w:val="ru-RU"/>
        </w:rPr>
      </w:pPr>
      <w:r w:rsidRPr="00635B94">
        <w:rPr>
          <w:rFonts w:cs="Times New Roman"/>
          <w:b/>
          <w:lang w:val="ru-RU"/>
        </w:rPr>
        <w:t>по состоянию на 08.00 (МСК) от 06.03.2020 г.</w:t>
      </w:r>
    </w:p>
    <w:p w:rsidR="00635B94" w:rsidRPr="00635B94" w:rsidRDefault="00635B94" w:rsidP="00635B94">
      <w:pPr>
        <w:spacing w:line="276" w:lineRule="auto"/>
        <w:ind w:left="-76"/>
        <w:jc w:val="both"/>
        <w:rPr>
          <w:rFonts w:cs="Times New Roman"/>
          <w:lang w:val="ru-RU"/>
        </w:rPr>
      </w:pPr>
    </w:p>
    <w:p w:rsidR="00635B94" w:rsidRPr="00635B94" w:rsidRDefault="00635B94" w:rsidP="00635B94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635B9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05.03.2020 г. (19.00 по мск) в целом в </w:t>
      </w:r>
      <w:r w:rsidRPr="00635B94">
        <w:rPr>
          <w:rFonts w:cs="Times New Roman"/>
          <w:b/>
          <w:lang w:val="ru-RU"/>
        </w:rPr>
        <w:t>КНР</w:t>
      </w:r>
      <w:r w:rsidRPr="00635B94">
        <w:rPr>
          <w:rFonts w:cs="Times New Roman"/>
          <w:lang w:val="ru-RU"/>
        </w:rPr>
        <w:t xml:space="preserve"> зарегистрировано случаев заболевания – </w:t>
      </w:r>
      <w:r w:rsidRPr="00635B94">
        <w:rPr>
          <w:rFonts w:cs="Times New Roman"/>
          <w:b/>
          <w:lang w:val="ru-RU"/>
        </w:rPr>
        <w:t>80710</w:t>
      </w:r>
      <w:r w:rsidRPr="00635B94">
        <w:rPr>
          <w:rFonts w:cs="Times New Roman"/>
          <w:lang w:val="ru-RU"/>
        </w:rPr>
        <w:t xml:space="preserve">. За сутки с 00.00 05.03.2020 по 00.00 (время Пекина) 06.03.2020 г. прирост составил 145 случаев (0,2%). </w:t>
      </w:r>
    </w:p>
    <w:p w:rsidR="00635B94" w:rsidRPr="00635B94" w:rsidRDefault="00635B94" w:rsidP="00635B94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635B94">
        <w:rPr>
          <w:rFonts w:cs="Times New Roman"/>
          <w:lang w:val="ru-RU"/>
        </w:rPr>
        <w:t xml:space="preserve">Случаев с летальным исходом – 3045 (прирост 30; летальность 3,8%; вне провинции Хубэй – 0,87%). В тяжёлом состоянии находятся 5737 человек (7,1%). Выписано 53813 человек (прирост 1704; 3%). Отслежено контактных лиц - 670854 (1829 за последние сутки, прирост 0,3%), 29896 находятся под наблюдением. </w:t>
      </w:r>
    </w:p>
    <w:p w:rsidR="00635B94" w:rsidRDefault="00635B94" w:rsidP="00635B94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635B94">
        <w:rPr>
          <w:rFonts w:cs="Times New Roman"/>
          <w:lang w:val="ru-RU"/>
        </w:rPr>
        <w:t xml:space="preserve">Всего в </w:t>
      </w:r>
      <w:r w:rsidRPr="00635B94">
        <w:rPr>
          <w:rFonts w:cs="Times New Roman"/>
          <w:b/>
          <w:lang w:val="ru-RU"/>
        </w:rPr>
        <w:t>мире</w:t>
      </w:r>
      <w:r w:rsidRPr="00635B94">
        <w:rPr>
          <w:rFonts w:cs="Times New Roman"/>
          <w:lang w:val="ru-RU"/>
        </w:rPr>
        <w:t xml:space="preserve"> по состоянию на 08.00 по мск 03.06.2020 г. из доступных источников известно о </w:t>
      </w:r>
      <w:r w:rsidRPr="00635B94">
        <w:rPr>
          <w:rFonts w:cs="Times New Roman"/>
          <w:b/>
          <w:lang w:val="ru-RU"/>
        </w:rPr>
        <w:t>98113</w:t>
      </w:r>
      <w:r w:rsidRPr="00635B94">
        <w:rPr>
          <w:rFonts w:cs="Times New Roman"/>
          <w:lang w:val="ru-RU"/>
        </w:rPr>
        <w:t xml:space="preserve"> подтверждённых случаях (прирост за сутки 2738 случаев; 2,9%). В 82 странах мира вне КНР зарегистрировано 17403 случаев (за последние сутки прирост 2593; 17,5%).</w:t>
      </w:r>
    </w:p>
    <w:p w:rsidR="00B657F5" w:rsidRPr="00E7254B" w:rsidRDefault="00AA5000" w:rsidP="00635B94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</w:rPr>
        <w:t>За последние сутки впервые случаи зарегистрированы в</w:t>
      </w:r>
      <w:r w:rsidR="00B7529F">
        <w:rPr>
          <w:rFonts w:cs="Times New Roman"/>
          <w:lang w:val="ru-RU"/>
        </w:rPr>
        <w:t xml:space="preserve"> Боснии и Герцеговине (2 завозных случая из Италии), Палестине (4, сотрудники местной гостиницы)</w:t>
      </w:r>
      <w:r w:rsidR="00635B94">
        <w:rPr>
          <w:rFonts w:cs="Times New Roman"/>
          <w:lang w:val="ru-RU"/>
        </w:rPr>
        <w:t>, ЮАР (1 завозной случай из Италии)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635B94" w:rsidRPr="007E6987" w:rsidTr="00B0294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35B94" w:rsidRPr="007E6987" w:rsidRDefault="00635B94" w:rsidP="00B02940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635B94" w:rsidRPr="007E6987" w:rsidTr="00B0294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35B94" w:rsidRPr="007E6987" w:rsidRDefault="00635B94" w:rsidP="00B029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80710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145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0,2%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3045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3,8%</w:t>
            </w:r>
            <w:r>
              <w:rPr>
                <w:rFonts w:cs="Times New Roman"/>
              </w:rPr>
              <w:fldChar w:fldCharType="end"/>
            </w:r>
          </w:p>
        </w:tc>
      </w:tr>
      <w:tr w:rsidR="00635B94" w:rsidRPr="007E6987" w:rsidTr="00B0294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35B94" w:rsidRPr="007E6987" w:rsidRDefault="00635B94" w:rsidP="00B029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17403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2593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17,5%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341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2,0%</w:t>
            </w:r>
            <w:r>
              <w:rPr>
                <w:rFonts w:cs="Times New Roman"/>
              </w:rPr>
              <w:fldChar w:fldCharType="end"/>
            </w:r>
          </w:p>
        </w:tc>
      </w:tr>
      <w:tr w:rsidR="00635B94" w:rsidRPr="007E6987" w:rsidTr="00B02940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35B94" w:rsidRPr="007E6987" w:rsidRDefault="00635B94" w:rsidP="00B029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98113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2738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2,9%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3386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101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35B94" w:rsidRPr="007E6987" w:rsidRDefault="00733AFC" w:rsidP="00B029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35B9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635B94" w:rsidRPr="004B02AA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635B9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879340" cy="2505075"/>
            <wp:effectExtent l="0" t="0" r="0" b="0"/>
            <wp:docPr id="11" name="Рисунок 4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F435E2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47485" cy="3359150"/>
            <wp:effectExtent l="19050" t="0" r="57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Количество случаев</w:t>
            </w:r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80710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F435E2" w:rsidRPr="00936F2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706</w:t>
            </w:r>
            <w:r w:rsidR="00936F22">
              <w:rPr>
                <w:color w:val="000000"/>
                <w:lang w:val="ru-RU"/>
              </w:rPr>
              <w:t>*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6284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435E2" w:rsidRPr="00ED1A2C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435E2" w:rsidRPr="00F25CA6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3858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F435E2" w:rsidRPr="00936F22" w:rsidRDefault="00936F2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7**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548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Default="00F435E2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Словения</w:t>
            </w:r>
          </w:p>
        </w:tc>
        <w:tc>
          <w:tcPr>
            <w:tcW w:w="1548" w:type="dxa"/>
            <w:vAlign w:val="bottom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435E2" w:rsidRPr="00F435E2" w:rsidRDefault="00F435E2" w:rsidP="00E7254B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Босния и Герцеговина</w:t>
            </w:r>
          </w:p>
        </w:tc>
        <w:tc>
          <w:tcPr>
            <w:tcW w:w="1548" w:type="dxa"/>
            <w:vAlign w:val="bottom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Pr="00B679C4" w:rsidRDefault="00F435E2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Pr="00B679C4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Pr="00B679C4" w:rsidRDefault="00F435E2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35E2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435E2" w:rsidRDefault="00F435E2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Морокко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5E2" w:rsidRPr="00B679C4" w:rsidRDefault="00F435E2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435E2" w:rsidRPr="00B679C4" w:rsidRDefault="00F435E2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Палестина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435E2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435E2" w:rsidRPr="00B679C4" w:rsidRDefault="00F435E2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Default="00F435E2" w:rsidP="00F435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435E2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F435E2" w:rsidRPr="00B679C4" w:rsidRDefault="00F435E2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B679C4" w:rsidRDefault="00F435E2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Pr="00F435E2" w:rsidRDefault="00F43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35E2" w:rsidRPr="00F435E2" w:rsidRDefault="00F435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254B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936F22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98113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936F22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2783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936F22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3386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936F22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710A4D" w:rsidRDefault="00710A4D" w:rsidP="00DB7940">
      <w:pPr>
        <w:rPr>
          <w:lang w:val="ru-RU"/>
        </w:rPr>
      </w:pPr>
      <w:r>
        <w:rPr>
          <w:lang w:val="ru-RU"/>
        </w:rPr>
        <w:t>*</w:t>
      </w:r>
      <w:r w:rsidRPr="00710A4D">
        <w:rPr>
          <w:lang w:val="ru-RU"/>
        </w:rPr>
        <w:t xml:space="preserve"> В общее количество случаев на лайнере </w:t>
      </w:r>
      <w:r>
        <w:rPr>
          <w:lang w:val="en-US"/>
        </w:rPr>
        <w:t>Diamond</w:t>
      </w:r>
      <w:r w:rsidRPr="00710A4D">
        <w:rPr>
          <w:lang w:val="ru-RU"/>
        </w:rPr>
        <w:t xml:space="preserve"> </w:t>
      </w:r>
      <w:r>
        <w:rPr>
          <w:lang w:val="en-US"/>
        </w:rPr>
        <w:t>Princess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включены</w:t>
      </w:r>
      <w:proofErr w:type="gramEnd"/>
      <w:r>
        <w:rPr>
          <w:lang w:val="ru-RU"/>
        </w:rPr>
        <w:t xml:space="preserve"> 3 эвакуированных россиян</w:t>
      </w:r>
      <w:r w:rsidR="000315DF">
        <w:rPr>
          <w:lang w:val="ru-RU"/>
        </w:rPr>
        <w:t>ина</w:t>
      </w:r>
      <w:r>
        <w:rPr>
          <w:lang w:val="ru-RU"/>
        </w:rPr>
        <w:t xml:space="preserve"> </w:t>
      </w:r>
    </w:p>
    <w:p w:rsidR="00710A4D" w:rsidRPr="00710A4D" w:rsidRDefault="00710A4D" w:rsidP="00710A4D">
      <w:pPr>
        <w:rPr>
          <w:lang w:val="ru-RU"/>
        </w:rPr>
      </w:pPr>
      <w:r w:rsidRPr="00936F22">
        <w:rPr>
          <w:lang w:val="ru-RU"/>
        </w:rPr>
        <w:t xml:space="preserve">** В общее количество случаев в России </w:t>
      </w:r>
      <w:proofErr w:type="gramStart"/>
      <w:r w:rsidRPr="00936F22">
        <w:rPr>
          <w:lang w:val="ru-RU"/>
        </w:rPr>
        <w:t>включены</w:t>
      </w:r>
      <w:proofErr w:type="gramEnd"/>
      <w:r w:rsidRPr="00936F22">
        <w:rPr>
          <w:lang w:val="ru-RU"/>
        </w:rPr>
        <w:t xml:space="preserve"> 2 завозных случая из КНР, </w:t>
      </w:r>
      <w:r w:rsidR="00936F22">
        <w:rPr>
          <w:lang w:val="ru-RU"/>
        </w:rPr>
        <w:t>2 завозных</w:t>
      </w:r>
      <w:r w:rsidRPr="00936F22">
        <w:rPr>
          <w:lang w:val="ru-RU"/>
        </w:rPr>
        <w:t xml:space="preserve"> случа</w:t>
      </w:r>
      <w:r w:rsidR="00936F22">
        <w:rPr>
          <w:lang w:val="ru-RU"/>
        </w:rPr>
        <w:t xml:space="preserve">я </w:t>
      </w:r>
      <w:r w:rsidRPr="00936F22">
        <w:rPr>
          <w:lang w:val="ru-RU"/>
        </w:rPr>
        <w:t xml:space="preserve">из Италии, 3 случая у граждан России, эвакуированных с лайнера </w:t>
      </w:r>
      <w:r w:rsidRPr="00936F22">
        <w:rPr>
          <w:lang w:val="en-US"/>
        </w:rPr>
        <w:t>Diamond</w:t>
      </w:r>
      <w:r w:rsidRPr="00936F22">
        <w:rPr>
          <w:lang w:val="ru-RU"/>
        </w:rPr>
        <w:t xml:space="preserve"> </w:t>
      </w:r>
      <w:r w:rsidRPr="00936F22">
        <w:rPr>
          <w:lang w:val="en-US"/>
        </w:rPr>
        <w:t>Princess</w:t>
      </w:r>
    </w:p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F435E2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71730" cy="2850672"/>
            <wp:effectExtent l="19050" t="0" r="57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59" cy="285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F435E2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F435E2">
        <w:rPr>
          <w:rFonts w:cs="Times New Roman"/>
          <w:b/>
          <w:lang w:val="ru-RU"/>
        </w:rPr>
        <w:t>06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67592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35B94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635B94" w:rsidRDefault="00635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635B94" w:rsidRDefault="00635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635B94" w:rsidRDefault="00635B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936F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80711***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936F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936F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3045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936F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BD4E1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36F22">
        <w:rPr>
          <w:rFonts w:cs="Times New Roman"/>
          <w:lang w:val="ru-RU"/>
        </w:rPr>
        <w:t>*** Сумма случаев в регионах КНР по данным университета Джонса Хопкинса (</w:t>
      </w:r>
      <w:r w:rsidR="00936F22" w:rsidRPr="00936F22">
        <w:rPr>
          <w:color w:val="000000"/>
          <w:lang w:val="ru-RU"/>
        </w:rPr>
        <w:t>80711</w:t>
      </w:r>
      <w:r w:rsidRPr="00936F22">
        <w:rPr>
          <w:rFonts w:cs="Times New Roman"/>
          <w:lang w:val="ru-RU"/>
        </w:rPr>
        <w:t>) отличается от общего числа, опубликованного Государственной Комиссией здравоохраения КНР (</w:t>
      </w:r>
      <w:r w:rsidR="00936F22" w:rsidRPr="00936F22">
        <w:rPr>
          <w:color w:val="000000"/>
          <w:lang w:val="ru-RU"/>
        </w:rPr>
        <w:t>80710</w:t>
      </w:r>
      <w:r w:rsidRPr="00936F22">
        <w:rPr>
          <w:rFonts w:cs="Times New Roman"/>
          <w:lang w:val="ru-RU"/>
        </w:rPr>
        <w:t>)</w:t>
      </w: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936F22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596765" cy="276796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6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357353" w:rsidRPr="00F35126" w:rsidRDefault="00357353" w:rsidP="00F35126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A00538">
        <w:rPr>
          <w:rFonts w:cs="Times New Roman"/>
          <w:lang w:val="ru-RU"/>
        </w:rPr>
        <w:t>58</w:t>
      </w:r>
      <w:r w:rsidRPr="00F35126">
        <w:rPr>
          <w:rFonts w:cs="Times New Roman"/>
          <w:lang w:val="ru-RU"/>
        </w:rPr>
        <w:t>%), Эмилия-Романья (</w:t>
      </w:r>
      <w:r w:rsidR="00A00538">
        <w:rPr>
          <w:rFonts w:cs="Times New Roman"/>
          <w:lang w:val="ru-RU"/>
        </w:rPr>
        <w:t>18</w:t>
      </w:r>
      <w:r w:rsidRPr="00F35126">
        <w:rPr>
          <w:rFonts w:cs="Times New Roman"/>
          <w:lang w:val="ru-RU"/>
        </w:rPr>
        <w:t>%) и Венето (</w:t>
      </w:r>
      <w:r w:rsidR="00A00538">
        <w:rPr>
          <w:rFonts w:cs="Times New Roman"/>
          <w:lang w:val="ru-RU"/>
        </w:rPr>
        <w:t>10</w:t>
      </w:r>
      <w:r w:rsidRPr="00F35126">
        <w:rPr>
          <w:rFonts w:cs="Times New Roman"/>
          <w:lang w:val="ru-RU"/>
        </w:rPr>
        <w:t>,5%).</w:t>
      </w:r>
    </w:p>
    <w:p w:rsidR="00357353" w:rsidRPr="00F35126" w:rsidRDefault="00357353" w:rsidP="00F35126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На текущий момент ограничительные меры касаются населённых пунктов Ломбардии (Казальпустерленго, Кодоньо, Кастильоне-д'Адда, Фомбьо, Малео, Сомалья, Бертонико, Терранова-дей-Пассерини, Кастелджерундо и Сан-Фьорано, Лоди), а также </w:t>
      </w:r>
      <w:proofErr w:type="gramStart"/>
      <w:r w:rsidRPr="00F35126">
        <w:rPr>
          <w:color w:val="000000"/>
        </w:rPr>
        <w:t>г</w:t>
      </w:r>
      <w:proofErr w:type="gramEnd"/>
      <w:r w:rsidRPr="00F35126">
        <w:rPr>
          <w:color w:val="000000"/>
        </w:rPr>
        <w:t xml:space="preserve">. Во Эуганео в Падуе (Венето). Крупные компании разрешили сотрудникам работать из дома. </w:t>
      </w:r>
      <w:r w:rsidR="00BD4E16">
        <w:rPr>
          <w:color w:val="000000"/>
        </w:rPr>
        <w:t>Принято решение о закрытии школ и университетов до середины марта.</w:t>
      </w:r>
      <w:r w:rsidR="00936F22">
        <w:rPr>
          <w:color w:val="000000"/>
        </w:rPr>
        <w:t xml:space="preserve"> Все спортивные матчи до 03.04.20 будут проходить без участия зрителей.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936F22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00538" w:rsidRDefault="00F35126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>%) и окружающей его провинции Кёнсан-Пукто</w:t>
      </w:r>
      <w:r>
        <w:rPr>
          <w:rFonts w:cs="Times New Roman"/>
          <w:lang w:val="ru-RU"/>
        </w:rPr>
        <w:t xml:space="preserve"> (</w:t>
      </w:r>
      <w:r w:rsidR="00A00538">
        <w:rPr>
          <w:rFonts w:cs="Times New Roman"/>
          <w:lang w:val="ru-RU"/>
        </w:rPr>
        <w:t>16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AD4670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Хубэй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</w:t>
      </w:r>
      <w:r w:rsidR="001D403D">
        <w:rPr>
          <w:rFonts w:cs="Times New Roman"/>
          <w:lang w:val="ru-RU"/>
        </w:rPr>
        <w:t xml:space="preserve">Все детские сады и школы в стране отложили начало занятий до 09.03.20. В </w:t>
      </w:r>
      <w:proofErr w:type="gramStart"/>
      <w:r w:rsidR="001D403D">
        <w:rPr>
          <w:rFonts w:cs="Times New Roman"/>
          <w:lang w:val="ru-RU"/>
        </w:rPr>
        <w:t>г</w:t>
      </w:r>
      <w:proofErr w:type="gramEnd"/>
      <w:r w:rsidR="001D403D">
        <w:rPr>
          <w:rFonts w:cs="Times New Roman"/>
          <w:lang w:val="ru-RU"/>
        </w:rPr>
        <w:t xml:space="preserve">. Тэгу приостановлен призыв в армию. </w:t>
      </w:r>
    </w:p>
    <w:p w:rsidR="00052F9B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936F22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A00538" w:rsidRDefault="00A00538" w:rsidP="00A00538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4B60A5" w:rsidRPr="00A00538" w:rsidRDefault="004B60A5" w:rsidP="00A00538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(4</w:t>
      </w:r>
      <w:r w:rsidR="00A00538">
        <w:rPr>
          <w:rFonts w:cs="Times New Roman"/>
          <w:lang w:val="ru-RU"/>
        </w:rPr>
        <w:t>2</w:t>
      </w:r>
      <w:r w:rsidRPr="00A00538">
        <w:rPr>
          <w:rFonts w:cs="Times New Roman"/>
          <w:lang w:val="ru-RU"/>
        </w:rPr>
        <w:t xml:space="preserve">%). </w:t>
      </w:r>
    </w:p>
    <w:p w:rsidR="004B60A5" w:rsidRPr="004B60A5" w:rsidRDefault="00A00538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5A1441">
        <w:rPr>
          <w:rFonts w:cs="Times New Roman"/>
          <w:lang w:val="ru-RU"/>
        </w:rPr>
        <w:t>С 27.02 Иран запретил въе</w:t>
      </w:r>
      <w:proofErr w:type="gramStart"/>
      <w:r w:rsidR="005A1441">
        <w:rPr>
          <w:rFonts w:cs="Times New Roman"/>
          <w:lang w:val="ru-RU"/>
        </w:rPr>
        <w:t>зд в стр</w:t>
      </w:r>
      <w:proofErr w:type="gramEnd"/>
      <w:r w:rsidR="005A1441">
        <w:rPr>
          <w:rFonts w:cs="Times New Roman"/>
          <w:lang w:val="ru-RU"/>
        </w:rPr>
        <w:t xml:space="preserve">ану для граждан Китая. </w:t>
      </w:r>
      <w:r w:rsidR="004B60A5">
        <w:rPr>
          <w:rFonts w:cs="Times New Roman"/>
          <w:lang w:val="ru-RU"/>
        </w:rPr>
        <w:t>В нескольких провинциях закрыты школы и университеты</w:t>
      </w:r>
      <w:r w:rsidR="005A1441">
        <w:rPr>
          <w:rFonts w:cs="Times New Roman"/>
          <w:lang w:val="ru-RU"/>
        </w:rPr>
        <w:t>, отменены спортивные состязания и культурные мероприятия</w:t>
      </w:r>
      <w:r w:rsidR="004B60A5">
        <w:rPr>
          <w:rFonts w:cs="Times New Roman"/>
          <w:lang w:val="ru-RU"/>
        </w:rPr>
        <w:t>. Ограничено посещение некоторых религиозных объектов</w:t>
      </w:r>
      <w:r w:rsidR="005A1441">
        <w:rPr>
          <w:rFonts w:cs="Times New Roman"/>
          <w:lang w:val="ru-RU"/>
        </w:rPr>
        <w:t xml:space="preserve"> в провинции Кум</w:t>
      </w:r>
      <w:r w:rsidR="004B60A5">
        <w:rPr>
          <w:rFonts w:cs="Times New Roman"/>
          <w:lang w:val="ru-RU"/>
        </w:rPr>
        <w:t xml:space="preserve">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936F22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133340" cy="301180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Японии </w:t>
      </w:r>
    </w:p>
    <w:p w:rsidR="00AD4670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</w:p>
    <w:p w:rsidR="00AD4670" w:rsidRDefault="00C5781C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 w:rsidRPr="00C5781C">
        <w:rPr>
          <w:rFonts w:cs="Times New Roman"/>
          <w:lang w:val="ru-RU"/>
        </w:rPr>
        <w:t xml:space="preserve">В Японии </w:t>
      </w:r>
      <w:r>
        <w:rPr>
          <w:rFonts w:cs="Times New Roman"/>
          <w:lang w:val="ru-RU"/>
        </w:rPr>
        <w:t xml:space="preserve">наибольшее количество случаев зарегистрировано в префектцрах Хоккайдо (29%), </w:t>
      </w:r>
      <w:r w:rsidR="00921B14">
        <w:rPr>
          <w:rFonts w:cs="Times New Roman"/>
          <w:lang w:val="ru-RU"/>
        </w:rPr>
        <w:t>Айти (</w:t>
      </w:r>
      <w:r w:rsidR="00A00538">
        <w:rPr>
          <w:rFonts w:cs="Times New Roman"/>
          <w:lang w:val="ru-RU"/>
        </w:rPr>
        <w:t>17</w:t>
      </w:r>
      <w:r w:rsidR="00921B14">
        <w:rPr>
          <w:rFonts w:cs="Times New Roman"/>
          <w:lang w:val="ru-RU"/>
        </w:rPr>
        <w:t>%). И Токио (</w:t>
      </w:r>
      <w:r w:rsidR="00A00538">
        <w:rPr>
          <w:rFonts w:cs="Times New Roman"/>
          <w:lang w:val="ru-RU"/>
        </w:rPr>
        <w:t>16</w:t>
      </w:r>
      <w:r w:rsidR="00921B14">
        <w:rPr>
          <w:rFonts w:cs="Times New Roman"/>
          <w:lang w:val="ru-RU"/>
        </w:rPr>
        <w:t xml:space="preserve">%). </w:t>
      </w:r>
    </w:p>
    <w:p w:rsidR="00921B14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</w:p>
    <w:p w:rsidR="00921B14" w:rsidRPr="00C5781C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Японии запрещён въезд лиц, находившихся ранее в провинциях Хубэй (с 01.02.20) и Шеньзцян (с 12.02.20) в КНР. В префектуре Хоккайдо введено чрезвычайное положение. Практически все регионы Японии отложили занятия в школах до начала апреля.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00538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отчётов ВОЗ</w:t>
      </w:r>
    </w:p>
    <w:p w:rsidR="00A00538" w:rsidRDefault="00A00538" w:rsidP="00A00538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 w:rsidR="00A00538" w:rsidRPr="00A00538" w:rsidRDefault="00A00538" w:rsidP="00642870">
      <w:pPr>
        <w:pStyle w:val="a6"/>
        <w:shd w:val="clear" w:color="auto" w:fill="FFFFFF"/>
        <w:spacing w:before="180" w:line="276" w:lineRule="auto"/>
        <w:ind w:left="0" w:right="-851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В пресс-релизе Юго-восточно</w:t>
      </w:r>
      <w:r w:rsidR="001A2F0D">
        <w:rPr>
          <w:rFonts w:cs="Times New Roman"/>
          <w:lang w:val="ru-RU"/>
        </w:rPr>
        <w:t>азиатского</w:t>
      </w:r>
      <w:r>
        <w:rPr>
          <w:rFonts w:cs="Times New Roman"/>
          <w:lang w:val="ru-RU"/>
        </w:rPr>
        <w:t xml:space="preserve"> офиса ВОЗ </w:t>
      </w:r>
      <w:r w:rsidR="001A2F0D">
        <w:rPr>
          <w:rFonts w:cs="Times New Roman"/>
          <w:lang w:val="ru-RU"/>
        </w:rPr>
        <w:t xml:space="preserve">от 04.03.20 </w:t>
      </w:r>
      <w:r>
        <w:rPr>
          <w:rFonts w:cs="Times New Roman"/>
          <w:lang w:val="ru-RU"/>
        </w:rPr>
        <w:t xml:space="preserve">заявлено, что 9 из 11 стран региона имеют возможность лабораторного подтверждения нового коронавируса. Страны, не имеющие такой возможности, </w:t>
      </w:r>
      <w:r w:rsidR="00642870">
        <w:rPr>
          <w:rFonts w:cs="Times New Roman"/>
          <w:lang w:val="ru-RU"/>
        </w:rPr>
        <w:t>направляют</w:t>
      </w:r>
      <w:r>
        <w:rPr>
          <w:rFonts w:cs="Times New Roman"/>
          <w:lang w:val="ru-RU"/>
        </w:rPr>
        <w:t xml:space="preserve"> образцы на исследование в лаборатории</w:t>
      </w:r>
      <w:r w:rsidR="00642870">
        <w:rPr>
          <w:rFonts w:cs="Times New Roman"/>
          <w:lang w:val="ru-RU"/>
        </w:rPr>
        <w:t xml:space="preserve">, квалифицированные </w:t>
      </w:r>
      <w:r>
        <w:rPr>
          <w:rFonts w:cs="Times New Roman"/>
          <w:lang w:val="ru-RU"/>
        </w:rPr>
        <w:t xml:space="preserve"> ВОЗ</w:t>
      </w:r>
      <w:r w:rsidR="00642870">
        <w:rPr>
          <w:rFonts w:cs="Times New Roman"/>
          <w:lang w:val="ru-RU"/>
        </w:rPr>
        <w:t xml:space="preserve">; в юго-восточном азиатском регионе -  </w:t>
      </w:r>
      <w:r>
        <w:rPr>
          <w:rFonts w:cs="Times New Roman"/>
          <w:lang w:val="ru-RU"/>
        </w:rPr>
        <w:t xml:space="preserve">в </w:t>
      </w:r>
      <w:r w:rsidR="00642870">
        <w:rPr>
          <w:rFonts w:cs="Times New Roman"/>
          <w:lang w:val="ru-RU"/>
        </w:rPr>
        <w:t xml:space="preserve">две </w:t>
      </w:r>
      <w:r>
        <w:rPr>
          <w:rFonts w:cs="Times New Roman"/>
          <w:lang w:val="ru-RU"/>
        </w:rPr>
        <w:t xml:space="preserve">лаборатории </w:t>
      </w:r>
      <w:r w:rsidR="00642870">
        <w:rPr>
          <w:rFonts w:cs="Times New Roman"/>
          <w:lang w:val="ru-RU"/>
        </w:rPr>
        <w:t>Таиланда и одну в Индии.</w:t>
      </w: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642870" w:rsidRDefault="00642870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</w:t>
      </w:r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 xml:space="preserve">госпитализации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дней</w:t>
      </w:r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нчалае февраля </w:t>
      </w:r>
      <w:r w:rsidRPr="00A275A2">
        <w:rPr>
          <w:rFonts w:cs="Times New Roman"/>
        </w:rPr>
        <w:t>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A673D4" w:rsidRDefault="00B14EC6" w:rsidP="00B14EC6">
      <w:pPr>
        <w:numPr>
          <w:ilvl w:val="0"/>
          <w:numId w:val="5"/>
        </w:numPr>
        <w:shd w:val="clear" w:color="auto" w:fill="FFFFFF"/>
        <w:adjustRightInd w:val="0"/>
        <w:spacing w:after="300" w:line="276" w:lineRule="auto"/>
        <w:ind w:left="0" w:firstLine="0"/>
        <w:contextualSpacing/>
        <w:jc w:val="both"/>
        <w:rPr>
          <w:rFonts w:eastAsia="Times New Roman" w:cs="Times New Roman"/>
          <w:b/>
        </w:rPr>
      </w:pPr>
      <w:r w:rsidRPr="00A673D4">
        <w:rPr>
          <w:rFonts w:cs="Times New Roman"/>
        </w:rPr>
        <w:t xml:space="preserve">В г. Ухань </w:t>
      </w:r>
      <w:r w:rsidRPr="00A673D4">
        <w:rPr>
          <w:rFonts w:cs="Times New Roman"/>
          <w:lang w:val="ru-RU"/>
        </w:rPr>
        <w:t>больных принимают</w:t>
      </w:r>
      <w:r w:rsidRPr="00A673D4">
        <w:rPr>
          <w:rFonts w:cs="Times New Roman"/>
        </w:rPr>
        <w:t xml:space="preserve"> </w:t>
      </w:r>
      <w:r w:rsidRPr="00A673D4">
        <w:rPr>
          <w:rFonts w:cs="Times New Roman"/>
          <w:lang w:val="ru-RU"/>
        </w:rPr>
        <w:t>23</w:t>
      </w:r>
      <w:r w:rsidRPr="00A673D4">
        <w:rPr>
          <w:rFonts w:cs="Times New Roman"/>
        </w:rPr>
        <w:t xml:space="preserve"> госпитал</w:t>
      </w:r>
      <w:r w:rsidRPr="00A673D4">
        <w:rPr>
          <w:rFonts w:cs="Times New Roman"/>
          <w:lang w:val="ru-RU"/>
        </w:rPr>
        <w:t>я</w:t>
      </w:r>
      <w:r w:rsidRPr="00A673D4">
        <w:rPr>
          <w:rFonts w:cs="Times New Roman"/>
        </w:rPr>
        <w:t xml:space="preserve">, в 61 клинике ведется приём пациентов с подозрением на </w:t>
      </w:r>
      <w:r w:rsidRPr="00A673D4">
        <w:rPr>
          <w:rFonts w:cs="Times New Roman"/>
          <w:lang w:val="en-US"/>
        </w:rPr>
        <w:t>COVID</w:t>
      </w:r>
      <w:r w:rsidRPr="00A673D4">
        <w:rPr>
          <w:rFonts w:cs="Times New Roman"/>
        </w:rPr>
        <w:t xml:space="preserve">-19. В г. Ухань переоборудованы во временные госпитали </w:t>
      </w:r>
      <w:r w:rsidR="00584753" w:rsidRPr="00A673D4">
        <w:rPr>
          <w:rFonts w:cs="Times New Roman"/>
          <w:lang w:val="ru-RU"/>
        </w:rPr>
        <w:t>несколько общественных зданий</w:t>
      </w:r>
      <w:r w:rsidRPr="00A673D4">
        <w:rPr>
          <w:rFonts w:cs="Times New Roman"/>
        </w:rPr>
        <w:t xml:space="preserve">. </w:t>
      </w: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sectPr w:rsidR="00B14EC6" w:rsidRPr="004921D9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101878"/>
    <w:rsid w:val="00130FC8"/>
    <w:rsid w:val="001435E7"/>
    <w:rsid w:val="0015646A"/>
    <w:rsid w:val="00167B03"/>
    <w:rsid w:val="001903E4"/>
    <w:rsid w:val="001A2E33"/>
    <w:rsid w:val="001A2F0D"/>
    <w:rsid w:val="001D403D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3AAE"/>
    <w:rsid w:val="00264197"/>
    <w:rsid w:val="002821B8"/>
    <w:rsid w:val="0028484C"/>
    <w:rsid w:val="00295E30"/>
    <w:rsid w:val="002A581B"/>
    <w:rsid w:val="002C03B3"/>
    <w:rsid w:val="002C1C42"/>
    <w:rsid w:val="002E2670"/>
    <w:rsid w:val="002F2E76"/>
    <w:rsid w:val="00357353"/>
    <w:rsid w:val="0036423A"/>
    <w:rsid w:val="00365794"/>
    <w:rsid w:val="003720B7"/>
    <w:rsid w:val="00391C6F"/>
    <w:rsid w:val="003A379D"/>
    <w:rsid w:val="003C375D"/>
    <w:rsid w:val="003E072C"/>
    <w:rsid w:val="003E6FEA"/>
    <w:rsid w:val="003F1C66"/>
    <w:rsid w:val="00403435"/>
    <w:rsid w:val="00405A62"/>
    <w:rsid w:val="00414E44"/>
    <w:rsid w:val="0046069E"/>
    <w:rsid w:val="00471290"/>
    <w:rsid w:val="0048581E"/>
    <w:rsid w:val="004B60A5"/>
    <w:rsid w:val="004E300C"/>
    <w:rsid w:val="004E666D"/>
    <w:rsid w:val="00506900"/>
    <w:rsid w:val="00506CED"/>
    <w:rsid w:val="00510702"/>
    <w:rsid w:val="00513EEE"/>
    <w:rsid w:val="00543039"/>
    <w:rsid w:val="00584753"/>
    <w:rsid w:val="00593916"/>
    <w:rsid w:val="005A1441"/>
    <w:rsid w:val="005B1441"/>
    <w:rsid w:val="005C64E6"/>
    <w:rsid w:val="005F280C"/>
    <w:rsid w:val="005F3E92"/>
    <w:rsid w:val="00635B94"/>
    <w:rsid w:val="00642870"/>
    <w:rsid w:val="006626C2"/>
    <w:rsid w:val="006659F8"/>
    <w:rsid w:val="006860F4"/>
    <w:rsid w:val="006C3E78"/>
    <w:rsid w:val="006E3A87"/>
    <w:rsid w:val="006F17AF"/>
    <w:rsid w:val="006F238F"/>
    <w:rsid w:val="006F6261"/>
    <w:rsid w:val="007068BF"/>
    <w:rsid w:val="00710A4D"/>
    <w:rsid w:val="00714952"/>
    <w:rsid w:val="00717760"/>
    <w:rsid w:val="00733AFC"/>
    <w:rsid w:val="0073697B"/>
    <w:rsid w:val="00740E66"/>
    <w:rsid w:val="00754B69"/>
    <w:rsid w:val="007759BE"/>
    <w:rsid w:val="0078249C"/>
    <w:rsid w:val="007932E7"/>
    <w:rsid w:val="007C5907"/>
    <w:rsid w:val="007F5E09"/>
    <w:rsid w:val="00824A7A"/>
    <w:rsid w:val="00831787"/>
    <w:rsid w:val="0083436C"/>
    <w:rsid w:val="008926B2"/>
    <w:rsid w:val="008A40FA"/>
    <w:rsid w:val="008E3E21"/>
    <w:rsid w:val="00921B14"/>
    <w:rsid w:val="00936F22"/>
    <w:rsid w:val="009472E7"/>
    <w:rsid w:val="00967367"/>
    <w:rsid w:val="009A1190"/>
    <w:rsid w:val="009F5C22"/>
    <w:rsid w:val="00A00538"/>
    <w:rsid w:val="00A02174"/>
    <w:rsid w:val="00A0505B"/>
    <w:rsid w:val="00A275A2"/>
    <w:rsid w:val="00A304AB"/>
    <w:rsid w:val="00A673D4"/>
    <w:rsid w:val="00A74AE6"/>
    <w:rsid w:val="00AA5000"/>
    <w:rsid w:val="00AD4670"/>
    <w:rsid w:val="00AD4D58"/>
    <w:rsid w:val="00B02E11"/>
    <w:rsid w:val="00B126BC"/>
    <w:rsid w:val="00B14EC6"/>
    <w:rsid w:val="00B169BB"/>
    <w:rsid w:val="00B407E9"/>
    <w:rsid w:val="00B5386F"/>
    <w:rsid w:val="00B657F5"/>
    <w:rsid w:val="00B679C4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5781C"/>
    <w:rsid w:val="00C7659E"/>
    <w:rsid w:val="00CB2E32"/>
    <w:rsid w:val="00CB5AFD"/>
    <w:rsid w:val="00CC335F"/>
    <w:rsid w:val="00D03964"/>
    <w:rsid w:val="00D325C9"/>
    <w:rsid w:val="00D36956"/>
    <w:rsid w:val="00D37196"/>
    <w:rsid w:val="00D45127"/>
    <w:rsid w:val="00D46B38"/>
    <w:rsid w:val="00D47789"/>
    <w:rsid w:val="00D637CE"/>
    <w:rsid w:val="00D9614E"/>
    <w:rsid w:val="00DB0242"/>
    <w:rsid w:val="00DB69E3"/>
    <w:rsid w:val="00DB7940"/>
    <w:rsid w:val="00DC6C6C"/>
    <w:rsid w:val="00DD0B57"/>
    <w:rsid w:val="00DF0669"/>
    <w:rsid w:val="00E10BEC"/>
    <w:rsid w:val="00E15D7E"/>
    <w:rsid w:val="00E54B15"/>
    <w:rsid w:val="00E60A03"/>
    <w:rsid w:val="00E624CE"/>
    <w:rsid w:val="00E7254B"/>
    <w:rsid w:val="00E77491"/>
    <w:rsid w:val="00EA0A01"/>
    <w:rsid w:val="00ED1A2C"/>
    <w:rsid w:val="00ED651F"/>
    <w:rsid w:val="00EE3CAE"/>
    <w:rsid w:val="00F13834"/>
    <w:rsid w:val="00F25CA6"/>
    <w:rsid w:val="00F26E38"/>
    <w:rsid w:val="00F35126"/>
    <w:rsid w:val="00F435E2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D7C5D-9832-4169-9BCB-5770D35C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2020-03-06T07:36:00Z</dcterms:created>
  <dcterms:modified xsi:type="dcterms:W3CDTF">2020-03-06T07:36:00Z</dcterms:modified>
</cp:coreProperties>
</file>