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0F" w:rsidRPr="00B7270F" w:rsidRDefault="00B7270F" w:rsidP="00B7270F">
      <w:pPr>
        <w:pStyle w:val="a6"/>
        <w:spacing w:before="240" w:line="276" w:lineRule="auto"/>
        <w:ind w:left="284"/>
        <w:jc w:val="right"/>
        <w:rPr>
          <w:rFonts w:cs="Times New Roman"/>
          <w:lang w:val="ru-RU"/>
        </w:rPr>
      </w:pPr>
      <w:r w:rsidRPr="00B7270F">
        <w:rPr>
          <w:rFonts w:cs="Times New Roman"/>
          <w:lang w:val="ru-RU"/>
        </w:rPr>
        <w:t>Информация подготовлена ФКУЗ РосНИПЧИ «Микроб»</w:t>
      </w:r>
    </w:p>
    <w:p w:rsidR="00B7270F" w:rsidRDefault="00B7270F" w:rsidP="00B7270F">
      <w:pPr>
        <w:pStyle w:val="a6"/>
        <w:spacing w:before="240" w:line="276" w:lineRule="auto"/>
        <w:ind w:left="284"/>
        <w:jc w:val="both"/>
        <w:rPr>
          <w:rFonts w:cs="Times New Roman"/>
          <w:lang w:val="ru-RU"/>
        </w:rPr>
      </w:pPr>
    </w:p>
    <w:p w:rsidR="00B7270F" w:rsidRPr="00B7270F" w:rsidRDefault="00B7270F" w:rsidP="00B7270F">
      <w:pPr>
        <w:pStyle w:val="a6"/>
        <w:spacing w:before="240" w:line="276" w:lineRule="auto"/>
        <w:ind w:left="284"/>
        <w:jc w:val="center"/>
        <w:rPr>
          <w:rFonts w:cs="Times New Roman"/>
          <w:b/>
          <w:lang w:val="ru-RU"/>
        </w:rPr>
      </w:pPr>
      <w:r w:rsidRPr="00B7270F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B7270F" w:rsidRPr="00B7270F" w:rsidRDefault="00B7270F" w:rsidP="00B7270F">
      <w:pPr>
        <w:pStyle w:val="a6"/>
        <w:spacing w:before="240" w:line="276" w:lineRule="auto"/>
        <w:ind w:left="284"/>
        <w:jc w:val="center"/>
        <w:rPr>
          <w:rFonts w:cs="Times New Roman"/>
          <w:b/>
          <w:lang w:val="ru-RU"/>
        </w:rPr>
      </w:pPr>
      <w:r w:rsidRPr="00B7270F">
        <w:rPr>
          <w:rFonts w:cs="Times New Roman"/>
          <w:b/>
          <w:lang w:val="ru-RU"/>
        </w:rPr>
        <w:t>по состоянию на 08.00 (МСК) от 07.03.2020 г.</w:t>
      </w:r>
    </w:p>
    <w:p w:rsidR="00B7270F" w:rsidRPr="00B7270F" w:rsidRDefault="00B7270F" w:rsidP="00B7270F">
      <w:pPr>
        <w:pStyle w:val="a6"/>
        <w:spacing w:before="240" w:line="276" w:lineRule="auto"/>
        <w:ind w:left="284"/>
        <w:jc w:val="both"/>
        <w:rPr>
          <w:rFonts w:cs="Times New Roman"/>
          <w:lang w:val="ru-RU"/>
        </w:rPr>
      </w:pPr>
    </w:p>
    <w:p w:rsidR="00B7270F" w:rsidRPr="00B7270F" w:rsidRDefault="00B7270F" w:rsidP="000907D0">
      <w:pPr>
        <w:pStyle w:val="a6"/>
        <w:numPr>
          <w:ilvl w:val="0"/>
          <w:numId w:val="21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B7270F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06.03.2020 г. (19.00 по мск) в целом в КНР зарегистрировано случаев заболевания – 80813. За сутки с 00.00 06.03.2020 по 00.00 (время Пекина) 07.03.2020 г. прирост составил 103 случаев (0,1%). </w:t>
      </w:r>
    </w:p>
    <w:p w:rsidR="00B7270F" w:rsidRPr="00B7270F" w:rsidRDefault="00B7270F" w:rsidP="000907D0">
      <w:pPr>
        <w:pStyle w:val="a6"/>
        <w:numPr>
          <w:ilvl w:val="0"/>
          <w:numId w:val="21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B7270F">
        <w:rPr>
          <w:rFonts w:cs="Times New Roman"/>
          <w:lang w:val="ru-RU"/>
        </w:rPr>
        <w:t xml:space="preserve">Случаев с летальным исходом – 3073 (прирост 28; летальность 3,8%; вне провинции Хубэй – 0,87%). В тяжёлом состоянии находятся 5359 человек (6,6%). Выписано 55477 человек (прирост 1664; 3%). Отслежено контактных лиц - 672458 (1604 за последние сутки, прирост 0,2%), 26730 находятся под наблюдением. </w:t>
      </w:r>
    </w:p>
    <w:p w:rsidR="000F0583" w:rsidRDefault="00B7270F" w:rsidP="000907D0">
      <w:pPr>
        <w:pStyle w:val="a6"/>
        <w:numPr>
          <w:ilvl w:val="0"/>
          <w:numId w:val="21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B7270F">
        <w:rPr>
          <w:rFonts w:cs="Times New Roman"/>
          <w:lang w:val="ru-RU"/>
        </w:rPr>
        <w:t>Всего в мире по состоянию на 08.00 по мск 03.07.2020 г. из доступных источников известно о 1020</w:t>
      </w:r>
      <w:r w:rsidR="001B7483">
        <w:rPr>
          <w:rFonts w:cs="Times New Roman"/>
          <w:lang w:val="ru-RU"/>
        </w:rPr>
        <w:t>8</w:t>
      </w:r>
      <w:r w:rsidRPr="00B7270F">
        <w:rPr>
          <w:rFonts w:cs="Times New Roman"/>
          <w:lang w:val="ru-RU"/>
        </w:rPr>
        <w:t>0 подтверждённых случаях (прирост за сутки 39</w:t>
      </w:r>
      <w:r w:rsidR="001B7483">
        <w:rPr>
          <w:rFonts w:cs="Times New Roman"/>
          <w:lang w:val="ru-RU"/>
        </w:rPr>
        <w:t>7</w:t>
      </w:r>
      <w:r w:rsidRPr="00B7270F">
        <w:rPr>
          <w:rFonts w:cs="Times New Roman"/>
          <w:lang w:val="ru-RU"/>
        </w:rPr>
        <w:t>7 случаев; 4,0%). В 88 странах мира вне КНР зарегистрировано 21</w:t>
      </w:r>
      <w:r w:rsidR="001B7483">
        <w:rPr>
          <w:rFonts w:cs="Times New Roman"/>
          <w:lang w:val="ru-RU"/>
        </w:rPr>
        <w:t>26</w:t>
      </w:r>
      <w:r w:rsidRPr="00B7270F">
        <w:rPr>
          <w:rFonts w:cs="Times New Roman"/>
          <w:lang w:val="ru-RU"/>
        </w:rPr>
        <w:t>7 случаев (за последние сутки прирост 38</w:t>
      </w:r>
      <w:r w:rsidR="001B7483">
        <w:rPr>
          <w:rFonts w:cs="Times New Roman"/>
          <w:lang w:val="ru-RU"/>
        </w:rPr>
        <w:t>7</w:t>
      </w:r>
      <w:r w:rsidRPr="00B7270F">
        <w:rPr>
          <w:rFonts w:cs="Times New Roman"/>
          <w:lang w:val="ru-RU"/>
        </w:rPr>
        <w:t>4; 21,9%).</w:t>
      </w:r>
    </w:p>
    <w:p w:rsidR="00B7270F" w:rsidRDefault="00B7270F" w:rsidP="00B7270F">
      <w:pPr>
        <w:pStyle w:val="a6"/>
        <w:spacing w:before="240" w:line="276" w:lineRule="auto"/>
        <w:ind w:left="284"/>
        <w:jc w:val="both"/>
        <w:rPr>
          <w:rFonts w:cs="Times New Roman"/>
          <w:lang w:val="ru-RU"/>
        </w:rPr>
      </w:pPr>
    </w:p>
    <w:p w:rsidR="00B657F5" w:rsidRPr="00E7254B" w:rsidRDefault="00AA5000" w:rsidP="000907D0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</w:rPr>
        <w:t>За последние сутки впервые случаи зарегистрированы в</w:t>
      </w:r>
      <w:r w:rsidR="00B7529F">
        <w:rPr>
          <w:rFonts w:cs="Times New Roman"/>
          <w:lang w:val="ru-RU"/>
        </w:rPr>
        <w:t xml:space="preserve"> </w:t>
      </w:r>
      <w:r w:rsidR="000F0583">
        <w:rPr>
          <w:rFonts w:cs="Times New Roman"/>
          <w:lang w:val="ru-RU"/>
        </w:rPr>
        <w:t>Бутане (1 завозной случай из Индии)</w:t>
      </w:r>
      <w:r w:rsidR="00834560">
        <w:rPr>
          <w:rFonts w:cs="Times New Roman"/>
          <w:lang w:val="ru-RU"/>
        </w:rPr>
        <w:t>, Камеруне (1 завозной случай из Франции), Сербии (1 завозной случай из Венгрии), Ватикане (1 случай)</w:t>
      </w:r>
      <w:r w:rsidR="000907D0">
        <w:rPr>
          <w:rFonts w:cs="Times New Roman"/>
          <w:lang w:val="ru-RU"/>
        </w:rPr>
        <w:t>, Колумбии (завозной случай из Италии), Словакии (без истории поездок, однако сын заболевшего приехал из Италии)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222"/>
        <w:gridCol w:w="1262"/>
        <w:gridCol w:w="1282"/>
        <w:gridCol w:w="1450"/>
        <w:gridCol w:w="1263"/>
        <w:gridCol w:w="1974"/>
      </w:tblGrid>
      <w:tr w:rsidR="000907D0" w:rsidRPr="007E6987" w:rsidTr="00377D1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</w:t>
            </w:r>
            <w:r>
              <w:rPr>
                <w:rFonts w:cs="Times New Roman"/>
                <w:b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</w:t>
            </w:r>
            <w:r>
              <w:rPr>
                <w:rFonts w:cs="Times New Roman"/>
                <w:b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Летальность</w:t>
            </w:r>
            <w:r>
              <w:rPr>
                <w:rFonts w:cs="Times New Roman"/>
                <w:b/>
              </w:rPr>
              <w:t>, %</w:t>
            </w:r>
          </w:p>
        </w:tc>
      </w:tr>
      <w:tr w:rsidR="000907D0" w:rsidRPr="007E6987" w:rsidTr="00377D1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907D0" w:rsidRPr="007E6987" w:rsidRDefault="000907D0" w:rsidP="00377D19">
            <w:pPr>
              <w:spacing w:line="276" w:lineRule="auto"/>
              <w:rPr>
                <w:rFonts w:cs="Times New Roman"/>
              </w:rPr>
            </w:pPr>
            <w:r w:rsidRPr="007E6987">
              <w:rPr>
                <w:rFonts w:cs="Times New Roman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80813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103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0,1%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3073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3,8%</w:t>
            </w:r>
            <w:r>
              <w:rPr>
                <w:rFonts w:cs="Times New Roman"/>
              </w:rPr>
              <w:fldChar w:fldCharType="end"/>
            </w:r>
          </w:p>
        </w:tc>
      </w:tr>
      <w:tr w:rsidR="000907D0" w:rsidRPr="007E6987" w:rsidTr="00377D1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907D0" w:rsidRPr="007E6987" w:rsidRDefault="000907D0" w:rsidP="00377D19">
            <w:pPr>
              <w:spacing w:line="276" w:lineRule="auto"/>
              <w:rPr>
                <w:rFonts w:cs="Times New Roman"/>
              </w:rPr>
            </w:pPr>
            <w:r w:rsidRPr="007E6987">
              <w:rPr>
                <w:rFonts w:cs="Times New Roman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907D0" w:rsidRPr="007E6987" w:rsidRDefault="000907D0" w:rsidP="001B748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21</w:t>
            </w:r>
            <w:r w:rsidR="001B7483">
              <w:rPr>
                <w:rFonts w:cs="Times New Roman"/>
                <w:noProof/>
                <w:lang w:val="ru-RU"/>
              </w:rPr>
              <w:t>26</w:t>
            </w:r>
            <w:r w:rsidRPr="00E41F31">
              <w:rPr>
                <w:rFonts w:cs="Times New Roman"/>
                <w:noProof/>
              </w:rPr>
              <w:t>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1B748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38</w:t>
            </w:r>
            <w:r w:rsidR="001B7483">
              <w:rPr>
                <w:rFonts w:cs="Times New Roman"/>
                <w:noProof/>
                <w:lang w:val="ru-RU"/>
              </w:rPr>
              <w:t>7</w:t>
            </w:r>
            <w:r w:rsidRPr="00E41F31">
              <w:rPr>
                <w:rFonts w:cs="Times New Roman"/>
                <w:noProof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21,9%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416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2,0%</w:t>
            </w:r>
            <w:r>
              <w:rPr>
                <w:rFonts w:cs="Times New Roman"/>
              </w:rPr>
              <w:fldChar w:fldCharType="end"/>
            </w:r>
          </w:p>
        </w:tc>
      </w:tr>
      <w:tr w:rsidR="000907D0" w:rsidRPr="007E6987" w:rsidTr="00377D1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907D0" w:rsidRPr="007E6987" w:rsidRDefault="000907D0" w:rsidP="00377D19">
            <w:pPr>
              <w:spacing w:line="276" w:lineRule="auto"/>
              <w:rPr>
                <w:rFonts w:cs="Times New Roman"/>
              </w:rPr>
            </w:pPr>
            <w:r w:rsidRPr="007E6987">
              <w:rPr>
                <w:rFonts w:cs="Times New Roman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907D0" w:rsidRPr="007E6987" w:rsidRDefault="000907D0" w:rsidP="001B748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1020</w:t>
            </w:r>
            <w:r w:rsidR="001B7483">
              <w:rPr>
                <w:rFonts w:cs="Times New Roman"/>
                <w:noProof/>
                <w:lang w:val="ru-RU"/>
              </w:rPr>
              <w:t>8</w:t>
            </w:r>
            <w:r w:rsidRPr="00E41F31">
              <w:rPr>
                <w:rFonts w:cs="Times New Roman"/>
                <w:noProof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1B748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39</w:t>
            </w:r>
            <w:r w:rsidR="001B7483">
              <w:rPr>
                <w:rFonts w:cs="Times New Roman"/>
                <w:noProof/>
                <w:lang w:val="ru-RU"/>
              </w:rPr>
              <w:t>7</w:t>
            </w:r>
            <w:r w:rsidRPr="00E41F31">
              <w:rPr>
                <w:rFonts w:cs="Times New Roman"/>
                <w:noProof/>
              </w:rPr>
              <w:t>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3489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103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907D0" w:rsidRPr="007E6987" w:rsidRDefault="000907D0" w:rsidP="00377D1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Pr="00E41F31">
              <w:rPr>
                <w:rFonts w:cs="Times New Roman"/>
                <w:noProof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635B9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879340" cy="2505075"/>
            <wp:effectExtent l="0" t="0" r="0" b="0"/>
            <wp:docPr id="11" name="Рисунок 4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DF0F4F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47485" cy="33655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Количество случаев</w:t>
            </w:r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</w:t>
            </w:r>
            <w:r w:rsidRPr="00B679C4">
              <w:rPr>
                <w:rFonts w:cs="Times New Roman"/>
                <w:b/>
              </w:rPr>
              <w:lastRenderedPageBreak/>
              <w:t>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80813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273BF4" w:rsidRPr="001B7483" w:rsidRDefault="001B74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6767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3BF4" w:rsidRPr="00ED1A2C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3BF4" w:rsidRPr="00F25CA6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Pr="00B679C4" w:rsidRDefault="00273BF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73BF4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73BF4" w:rsidRPr="00B679C4" w:rsidRDefault="00273BF4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73BF4" w:rsidRPr="00B679C4" w:rsidRDefault="00273BF4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73BF4" w:rsidRDefault="00273BF4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Словения</w:t>
            </w:r>
          </w:p>
        </w:tc>
        <w:tc>
          <w:tcPr>
            <w:tcW w:w="1548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73BF4" w:rsidRDefault="002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73BF4" w:rsidRDefault="00273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9C3DA9" w:rsidRPr="004D0E7F" w:rsidRDefault="009C3DA9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Ватикан</w:t>
            </w:r>
          </w:p>
        </w:tc>
        <w:tc>
          <w:tcPr>
            <w:tcW w:w="1548" w:type="dxa"/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9C3DA9" w:rsidRPr="004D0E7F" w:rsidRDefault="009C3DA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Сербия</w:t>
            </w:r>
          </w:p>
        </w:tc>
        <w:tc>
          <w:tcPr>
            <w:tcW w:w="1548" w:type="dxa"/>
            <w:vAlign w:val="bottom"/>
          </w:tcPr>
          <w:p w:rsidR="009C3DA9" w:rsidRPr="009C3DA9" w:rsidRDefault="009C3DA9" w:rsidP="00B7270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9C3DA9" w:rsidRPr="009C3DA9" w:rsidRDefault="009C3DA9" w:rsidP="00B7270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9C3DA9" w:rsidRPr="009C3DA9" w:rsidRDefault="009C3DA9" w:rsidP="00B7270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9C3DA9" w:rsidRPr="009C3DA9" w:rsidRDefault="009C3DA9" w:rsidP="00B7270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9C3DA9" w:rsidRPr="004D0E7F" w:rsidRDefault="009C3DA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Словакия</w:t>
            </w:r>
          </w:p>
        </w:tc>
        <w:tc>
          <w:tcPr>
            <w:tcW w:w="1548" w:type="dxa"/>
            <w:vAlign w:val="bottom"/>
          </w:tcPr>
          <w:p w:rsidR="009C3DA9" w:rsidRPr="009C3DA9" w:rsidRDefault="009C3DA9" w:rsidP="00B7270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9C3DA9" w:rsidRPr="009C3DA9" w:rsidRDefault="009C3DA9" w:rsidP="00B7270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9C3DA9" w:rsidRPr="009C3DA9" w:rsidRDefault="009C3DA9" w:rsidP="00B7270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9C3DA9" w:rsidRPr="009C3DA9" w:rsidRDefault="009C3DA9" w:rsidP="00B7270F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9C3DA9" w:rsidRPr="00F435E2" w:rsidRDefault="009C3DA9" w:rsidP="00E7254B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Босния и Герцеговина</w:t>
            </w:r>
          </w:p>
        </w:tc>
        <w:tc>
          <w:tcPr>
            <w:tcW w:w="1548" w:type="dxa"/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B679C4" w:rsidRDefault="009C3DA9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B679C4" w:rsidRDefault="009C3DA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B679C4" w:rsidRDefault="009C3DA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B679C4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B679C4" w:rsidRDefault="009C3DA9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DA9" w:rsidRPr="004D0E7F" w:rsidRDefault="009C3DA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Колумбия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DA9" w:rsidRDefault="009C3DA9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Морокко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Бутан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C3DA9" w:rsidRPr="00B679C4" w:rsidRDefault="009C3DA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Палестина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9C3DA9" w:rsidRPr="00B679C4" w:rsidRDefault="009C3DA9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Камерун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Pr="009C3DA9" w:rsidRDefault="009C3DA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9C3DA9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9C3DA9" w:rsidRPr="00B679C4" w:rsidRDefault="009C3DA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Pr="00B679C4" w:rsidRDefault="009C3DA9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3DA9" w:rsidRDefault="009C3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C3DA9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9C3DA9" w:rsidRPr="00B679C4" w:rsidRDefault="009C3DA9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9C3DA9" w:rsidRPr="00B679C4" w:rsidRDefault="009C3DA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9C3DA9" w:rsidRPr="00167B03" w:rsidRDefault="00E14286" w:rsidP="001B74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1020</w:t>
            </w:r>
            <w:r w:rsidR="001B7483">
              <w:rPr>
                <w:color w:val="000000"/>
                <w:lang w:val="ru-RU"/>
              </w:rPr>
              <w:t>80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9C3DA9" w:rsidRPr="00167B03" w:rsidRDefault="00E14286" w:rsidP="001B748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</w:t>
            </w:r>
            <w:r w:rsidR="001B7483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9C3DA9" w:rsidRPr="00167B03" w:rsidRDefault="00E1428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3489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9C3DA9" w:rsidRPr="00167B03" w:rsidRDefault="00E1428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103</w:t>
            </w: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DF0F4F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88590" cy="2811624"/>
            <wp:effectExtent l="19050" t="0" r="276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932" cy="281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DF0F4F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9F1747">
        <w:rPr>
          <w:rFonts w:cs="Times New Roman"/>
          <w:b/>
          <w:lang w:val="ru-RU"/>
        </w:rPr>
        <w:t>07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 w:firstRow="1" w:lastRow="0" w:firstColumn="1" w:lastColumn="0" w:noHBand="0" w:noVBand="1"/>
      </w:tblPr>
      <w:tblGrid>
        <w:gridCol w:w="4202"/>
        <w:gridCol w:w="1406"/>
        <w:gridCol w:w="1286"/>
        <w:gridCol w:w="1340"/>
        <w:gridCol w:w="129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67666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Pr="00E14286" w:rsidRDefault="00E14286" w:rsidP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74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2959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Pr="00E14286" w:rsidRDefault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3812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263812" w:rsidRDefault="00263812">
            <w:pPr>
              <w:rPr>
                <w:color w:val="000000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263812" w:rsidRDefault="0026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80813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103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3073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E14286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1B7483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596765" cy="2767965"/>
            <wp:effectExtent l="19050" t="0" r="0" b="0"/>
            <wp:docPr id="1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6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357353" w:rsidRPr="00F35126" w:rsidRDefault="00357353" w:rsidP="00F35126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A00538">
        <w:rPr>
          <w:rFonts w:cs="Times New Roman"/>
          <w:lang w:val="ru-RU"/>
        </w:rPr>
        <w:t>58</w:t>
      </w:r>
      <w:r w:rsidRPr="00F35126">
        <w:rPr>
          <w:rFonts w:cs="Times New Roman"/>
          <w:lang w:val="ru-RU"/>
        </w:rPr>
        <w:t>%), Эмилия-Романья (</w:t>
      </w:r>
      <w:r w:rsidR="00A00538">
        <w:rPr>
          <w:rFonts w:cs="Times New Roman"/>
          <w:lang w:val="ru-RU"/>
        </w:rPr>
        <w:t>18</w:t>
      </w:r>
      <w:r w:rsidRPr="00F35126">
        <w:rPr>
          <w:rFonts w:cs="Times New Roman"/>
          <w:lang w:val="ru-RU"/>
        </w:rPr>
        <w:t>%) и Венето (</w:t>
      </w:r>
      <w:r w:rsidR="00A00538">
        <w:rPr>
          <w:rFonts w:cs="Times New Roman"/>
          <w:lang w:val="ru-RU"/>
        </w:rPr>
        <w:t>10</w:t>
      </w:r>
      <w:r w:rsidRPr="00F35126">
        <w:rPr>
          <w:rFonts w:cs="Times New Roman"/>
          <w:lang w:val="ru-RU"/>
        </w:rPr>
        <w:t>,5%).</w:t>
      </w:r>
    </w:p>
    <w:p w:rsidR="00357353" w:rsidRPr="00F35126" w:rsidRDefault="00357353" w:rsidP="00F35126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На текущий момент ограничительные меры касаются населённых пунктов Ломбардии (Казальпустерленго, Кодоньо, Кастильоне-д'Адда, Фомбьо, Малео, Сомалья, Бертонико, Терранова-дей-Пассерини, Кастелджерундо и Сан-Фьорано, Лоди), а также г. Во Эуганео в Падуе (Венето). Крупные компании разрешили сотрудникам работать из дома. </w:t>
      </w:r>
      <w:r w:rsidR="00BD4E16">
        <w:rPr>
          <w:color w:val="000000"/>
        </w:rPr>
        <w:t>Принято решение о закрытии школ и университетов до середины марта.</w:t>
      </w:r>
      <w:r w:rsidR="00936F22">
        <w:rPr>
          <w:color w:val="000000"/>
        </w:rPr>
        <w:t xml:space="preserve"> Все спортивные матчи до 03.04.20 будут проходить без участия зрителей.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1B7483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6120765" cy="2767965"/>
            <wp:effectExtent l="19050" t="0" r="0" b="0"/>
            <wp:docPr id="18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00538" w:rsidRDefault="00F35126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>%) и окружающей его провинции Кёнсан-Пукто</w:t>
      </w:r>
      <w:r>
        <w:rPr>
          <w:rFonts w:cs="Times New Roman"/>
          <w:lang w:val="ru-RU"/>
        </w:rPr>
        <w:t xml:space="preserve"> (</w:t>
      </w:r>
      <w:r w:rsidR="00A00538">
        <w:rPr>
          <w:rFonts w:cs="Times New Roman"/>
          <w:lang w:val="ru-RU"/>
        </w:rPr>
        <w:t>16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AD4670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Хубэй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</w:t>
      </w:r>
      <w:r w:rsidR="001D403D">
        <w:rPr>
          <w:rFonts w:cs="Times New Roman"/>
          <w:lang w:val="ru-RU"/>
        </w:rPr>
        <w:t xml:space="preserve">Все детские сады и школы в стране отложили начало занятий до 09.03.20. В г. Тэгу приостановлен призыв в армию. </w:t>
      </w:r>
    </w:p>
    <w:p w:rsidR="00052F9B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1B7483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1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A00538" w:rsidRDefault="00A00538" w:rsidP="00A00538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4B60A5" w:rsidRPr="00A00538" w:rsidRDefault="004B60A5" w:rsidP="00A00538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(4</w:t>
      </w:r>
      <w:r w:rsidR="00A00538">
        <w:rPr>
          <w:rFonts w:cs="Times New Roman"/>
          <w:lang w:val="ru-RU"/>
        </w:rPr>
        <w:t>2</w:t>
      </w:r>
      <w:r w:rsidRPr="00A00538">
        <w:rPr>
          <w:rFonts w:cs="Times New Roman"/>
          <w:lang w:val="ru-RU"/>
        </w:rPr>
        <w:t xml:space="preserve">%). </w:t>
      </w:r>
    </w:p>
    <w:p w:rsidR="004B60A5" w:rsidRPr="004B60A5" w:rsidRDefault="00A00538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ab/>
      </w:r>
      <w:r w:rsidR="005A1441">
        <w:rPr>
          <w:rFonts w:cs="Times New Roman"/>
          <w:lang w:val="ru-RU"/>
        </w:rPr>
        <w:t xml:space="preserve">С 27.02 Иран запретил въезд в страну для граждан Китая. </w:t>
      </w:r>
      <w:r w:rsidR="004B60A5">
        <w:rPr>
          <w:rFonts w:cs="Times New Roman"/>
          <w:lang w:val="ru-RU"/>
        </w:rPr>
        <w:t>В нескольких провинциях закрыты школы и университеты</w:t>
      </w:r>
      <w:r w:rsidR="005A1441">
        <w:rPr>
          <w:rFonts w:cs="Times New Roman"/>
          <w:lang w:val="ru-RU"/>
        </w:rPr>
        <w:t>, отменены спортивные состязания и культурные мероприятия</w:t>
      </w:r>
      <w:r w:rsidR="004B60A5">
        <w:rPr>
          <w:rFonts w:cs="Times New Roman"/>
          <w:lang w:val="ru-RU"/>
        </w:rPr>
        <w:t>. Ограничено посещение некоторых религиозных объектов</w:t>
      </w:r>
      <w:r w:rsidR="005A1441">
        <w:rPr>
          <w:rFonts w:cs="Times New Roman"/>
          <w:lang w:val="ru-RU"/>
        </w:rPr>
        <w:t xml:space="preserve"> в провинции Кум</w:t>
      </w:r>
      <w:r w:rsidR="004B60A5">
        <w:rPr>
          <w:rFonts w:cs="Times New Roman"/>
          <w:lang w:val="ru-RU"/>
        </w:rPr>
        <w:t xml:space="preserve">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1B7483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126990" cy="3011805"/>
            <wp:effectExtent l="19050" t="0" r="0" b="0"/>
            <wp:docPr id="1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Японии </w:t>
      </w:r>
    </w:p>
    <w:p w:rsidR="00AD4670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</w:p>
    <w:p w:rsidR="00AD4670" w:rsidRDefault="00C5781C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 w:rsidRPr="00C5781C">
        <w:rPr>
          <w:rFonts w:cs="Times New Roman"/>
          <w:lang w:val="ru-RU"/>
        </w:rPr>
        <w:t xml:space="preserve">В Японии </w:t>
      </w:r>
      <w:r>
        <w:rPr>
          <w:rFonts w:cs="Times New Roman"/>
          <w:lang w:val="ru-RU"/>
        </w:rPr>
        <w:t xml:space="preserve">наибольшее количество случаев зарегистрировано в префектцрах Хоккайдо (29%), </w:t>
      </w:r>
      <w:r w:rsidR="00921B14">
        <w:rPr>
          <w:rFonts w:cs="Times New Roman"/>
          <w:lang w:val="ru-RU"/>
        </w:rPr>
        <w:t>Айти (</w:t>
      </w:r>
      <w:r w:rsidR="00A00538">
        <w:rPr>
          <w:rFonts w:cs="Times New Roman"/>
          <w:lang w:val="ru-RU"/>
        </w:rPr>
        <w:t>17</w:t>
      </w:r>
      <w:r w:rsidR="00921B14">
        <w:rPr>
          <w:rFonts w:cs="Times New Roman"/>
          <w:lang w:val="ru-RU"/>
        </w:rPr>
        <w:t>%). И Токио (</w:t>
      </w:r>
      <w:r w:rsidR="00A00538">
        <w:rPr>
          <w:rFonts w:cs="Times New Roman"/>
          <w:lang w:val="ru-RU"/>
        </w:rPr>
        <w:t>16</w:t>
      </w:r>
      <w:r w:rsidR="00921B14">
        <w:rPr>
          <w:rFonts w:cs="Times New Roman"/>
          <w:lang w:val="ru-RU"/>
        </w:rPr>
        <w:t xml:space="preserve">%). </w:t>
      </w:r>
    </w:p>
    <w:p w:rsidR="00921B14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</w:p>
    <w:p w:rsidR="00921B14" w:rsidRPr="00C5781C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Японии запрещён въезд лиц, находившихся ранее в провинциях Хубэй (с 01.02.20) и Шеньзцян (с 12.02.20) в КНР. В префектуре Хоккайдо введено чрезвычайное положение. Практически все регионы Японии отложили занятия в школах до начала апреля.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00538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550BE">
        <w:rPr>
          <w:rFonts w:cs="Times New Roman"/>
          <w:b/>
          <w:lang w:val="ru-RU"/>
        </w:rPr>
        <w:t>Информация из отчёт</w:t>
      </w:r>
      <w:r w:rsidR="003550BE" w:rsidRPr="003550BE">
        <w:rPr>
          <w:rFonts w:cs="Times New Roman"/>
          <w:b/>
          <w:lang w:val="ru-RU"/>
        </w:rPr>
        <w:t>а</w:t>
      </w:r>
      <w:r w:rsidRPr="003550BE">
        <w:rPr>
          <w:rFonts w:cs="Times New Roman"/>
          <w:b/>
          <w:lang w:val="ru-RU"/>
        </w:rPr>
        <w:t xml:space="preserve"> ВОЗ</w:t>
      </w:r>
      <w:r w:rsidR="003550BE" w:rsidRPr="003550BE">
        <w:rPr>
          <w:rFonts w:cs="Times New Roman"/>
          <w:b/>
          <w:lang w:val="ru-RU"/>
        </w:rPr>
        <w:t xml:space="preserve"> от 07.03.20</w:t>
      </w:r>
    </w:p>
    <w:p w:rsidR="00A00538" w:rsidRDefault="00A00538" w:rsidP="00A00538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</w:p>
    <w:p w:rsidR="002528A5" w:rsidRPr="003550BE" w:rsidRDefault="003550B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отчёте приводится сравнение гриппа и </w:t>
      </w:r>
      <w:r>
        <w:rPr>
          <w:rFonts w:cs="Times New Roman"/>
          <w:lang w:val="en-US"/>
        </w:rPr>
        <w:t>COVID</w:t>
      </w:r>
      <w:r w:rsidRPr="003550BE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. Так, они имеют схожую клиническую картину и общие меры профилактики. Однако грипп имеет более короткий инкубационный период. Серийный интервал для гриппа сосавляет около 3 дней, а для </w:t>
      </w:r>
      <w:r>
        <w:rPr>
          <w:rFonts w:cs="Times New Roman"/>
          <w:lang w:val="en-US"/>
        </w:rPr>
        <w:t>COVID</w:t>
      </w:r>
      <w:r w:rsidRPr="003550BE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 - 5-6 дней. Значительный вклад в распространение гриппа вносят больные в инкубационном периоде, в случае </w:t>
      </w:r>
      <w:r>
        <w:rPr>
          <w:rFonts w:cs="Times New Roman"/>
          <w:lang w:val="en-US"/>
        </w:rPr>
        <w:t>COVID</w:t>
      </w:r>
      <w:r w:rsidRPr="003550BE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 в гораздо меньшей степени. </w:t>
      </w:r>
      <w:r>
        <w:rPr>
          <w:rFonts w:cs="Times New Roman"/>
          <w:lang w:val="en-US"/>
        </w:rPr>
        <w:t>COVID</w:t>
      </w:r>
      <w:r w:rsidRPr="003550BE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 протекает чаще в более тяжёлой форме, летальность гриппа также меньше.</w:t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642870" w:rsidRDefault="00642870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9F1747" w:rsidRPr="004921D9" w:rsidRDefault="009F1747" w:rsidP="009F1747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</w:rPr>
      </w:pPr>
      <w:r w:rsidRPr="004921D9">
        <w:rPr>
          <w:rFonts w:cs="Times New Roman"/>
          <w:b/>
        </w:rPr>
        <w:t>Эпидемиологические и клинические характеристики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lastRenderedPageBreak/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</w:t>
      </w:r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 xml:space="preserve">госпитализации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дней</w:t>
      </w:r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нчалае февраля </w:t>
      </w:r>
      <w:r w:rsidRPr="00A275A2">
        <w:rPr>
          <w:rFonts w:cs="Times New Roman"/>
        </w:rPr>
        <w:t>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</w:t>
      </w:r>
      <w:r w:rsidRPr="00831787">
        <w:rPr>
          <w:rFonts w:cs="Times New Roman"/>
          <w:lang w:val="ru-RU"/>
        </w:rPr>
        <w:lastRenderedPageBreak/>
        <w:t xml:space="preserve">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A673D4" w:rsidRDefault="00B14EC6" w:rsidP="00B14EC6">
      <w:pPr>
        <w:numPr>
          <w:ilvl w:val="0"/>
          <w:numId w:val="5"/>
        </w:numPr>
        <w:shd w:val="clear" w:color="auto" w:fill="FFFFFF"/>
        <w:adjustRightInd w:val="0"/>
        <w:spacing w:after="300" w:line="276" w:lineRule="auto"/>
        <w:ind w:left="0" w:firstLine="0"/>
        <w:contextualSpacing/>
        <w:jc w:val="both"/>
        <w:rPr>
          <w:rFonts w:eastAsia="Times New Roman" w:cs="Times New Roman"/>
          <w:b/>
        </w:rPr>
      </w:pPr>
      <w:r w:rsidRPr="00A673D4">
        <w:rPr>
          <w:rFonts w:cs="Times New Roman"/>
        </w:rPr>
        <w:t xml:space="preserve">В г. Ухань </w:t>
      </w:r>
      <w:r w:rsidRPr="00A673D4">
        <w:rPr>
          <w:rFonts w:cs="Times New Roman"/>
          <w:lang w:val="ru-RU"/>
        </w:rPr>
        <w:t>больных принимают</w:t>
      </w:r>
      <w:r w:rsidRPr="00A673D4">
        <w:rPr>
          <w:rFonts w:cs="Times New Roman"/>
        </w:rPr>
        <w:t xml:space="preserve"> </w:t>
      </w:r>
      <w:r w:rsidRPr="00A673D4">
        <w:rPr>
          <w:rFonts w:cs="Times New Roman"/>
          <w:lang w:val="ru-RU"/>
        </w:rPr>
        <w:t>23</w:t>
      </w:r>
      <w:r w:rsidRPr="00A673D4">
        <w:rPr>
          <w:rFonts w:cs="Times New Roman"/>
        </w:rPr>
        <w:t xml:space="preserve"> госпитал</w:t>
      </w:r>
      <w:r w:rsidRPr="00A673D4">
        <w:rPr>
          <w:rFonts w:cs="Times New Roman"/>
          <w:lang w:val="ru-RU"/>
        </w:rPr>
        <w:t>я</w:t>
      </w:r>
      <w:r w:rsidRPr="00A673D4">
        <w:rPr>
          <w:rFonts w:cs="Times New Roman"/>
        </w:rPr>
        <w:t xml:space="preserve">, в 61 клинике ведется приём пациентов с подозрением на </w:t>
      </w:r>
      <w:r w:rsidRPr="00A673D4">
        <w:rPr>
          <w:rFonts w:cs="Times New Roman"/>
          <w:lang w:val="en-US"/>
        </w:rPr>
        <w:t>COVID</w:t>
      </w:r>
      <w:r w:rsidRPr="00A673D4">
        <w:rPr>
          <w:rFonts w:cs="Times New Roman"/>
        </w:rPr>
        <w:t xml:space="preserve">-19. В г. Ухань переоборудованы во временные госпитали </w:t>
      </w:r>
      <w:r w:rsidR="00584753" w:rsidRPr="00A673D4">
        <w:rPr>
          <w:rFonts w:cs="Times New Roman"/>
          <w:lang w:val="ru-RU"/>
        </w:rPr>
        <w:t>несколько общественных зданий</w:t>
      </w:r>
      <w:r w:rsidRPr="00A673D4">
        <w:rPr>
          <w:rFonts w:cs="Times New Roman"/>
        </w:rPr>
        <w:t xml:space="preserve">. </w:t>
      </w: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cs="Times New Roman"/>
          <w:lang w:val="ru-RU"/>
        </w:rPr>
        <w:t xml:space="preserve">По </w:t>
      </w:r>
      <w:proofErr w:type="gramStart"/>
      <w:r w:rsidRPr="005B51FF">
        <w:rPr>
          <w:rFonts w:cs="Times New Roman"/>
          <w:lang w:val="ru-RU"/>
        </w:rPr>
        <w:t>данным  РИА</w:t>
      </w:r>
      <w:proofErr w:type="gramEnd"/>
      <w:r w:rsidRPr="005B51FF">
        <w:rPr>
          <w:rFonts w:cs="Times New Roman"/>
          <w:lang w:val="ru-RU"/>
        </w:rPr>
        <w:t xml:space="preserve">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lastRenderedPageBreak/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  <w:bookmarkStart w:id="0" w:name="_GoBack"/>
      <w:bookmarkEnd w:id="0"/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16"/>
  </w:num>
  <w:num w:numId="13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0"/>
  </w:num>
  <w:num w:numId="17">
    <w:abstractNumId w:val="17"/>
  </w:num>
  <w:num w:numId="18">
    <w:abstractNumId w:val="5"/>
  </w:num>
  <w:num w:numId="19">
    <w:abstractNumId w:val="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0907D0"/>
    <w:rsid w:val="000F0583"/>
    <w:rsid w:val="00101878"/>
    <w:rsid w:val="00130FC8"/>
    <w:rsid w:val="001435E7"/>
    <w:rsid w:val="0015646A"/>
    <w:rsid w:val="00167B03"/>
    <w:rsid w:val="001903E4"/>
    <w:rsid w:val="001A2E33"/>
    <w:rsid w:val="001A2F0D"/>
    <w:rsid w:val="001B7483"/>
    <w:rsid w:val="001D403D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3812"/>
    <w:rsid w:val="00263AAE"/>
    <w:rsid w:val="00264197"/>
    <w:rsid w:val="00273BF4"/>
    <w:rsid w:val="002821B8"/>
    <w:rsid w:val="0028484C"/>
    <w:rsid w:val="00295E30"/>
    <w:rsid w:val="002A581B"/>
    <w:rsid w:val="002C03B3"/>
    <w:rsid w:val="002C1C42"/>
    <w:rsid w:val="002E2670"/>
    <w:rsid w:val="002F2E76"/>
    <w:rsid w:val="00320231"/>
    <w:rsid w:val="003550BE"/>
    <w:rsid w:val="00357353"/>
    <w:rsid w:val="0036423A"/>
    <w:rsid w:val="00365794"/>
    <w:rsid w:val="003720B7"/>
    <w:rsid w:val="00391C6F"/>
    <w:rsid w:val="003A379D"/>
    <w:rsid w:val="003C375D"/>
    <w:rsid w:val="003E072C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B60A5"/>
    <w:rsid w:val="004E300C"/>
    <w:rsid w:val="004E666D"/>
    <w:rsid w:val="00506900"/>
    <w:rsid w:val="00506CED"/>
    <w:rsid w:val="00510702"/>
    <w:rsid w:val="00513D00"/>
    <w:rsid w:val="00513EEE"/>
    <w:rsid w:val="00543039"/>
    <w:rsid w:val="005550FB"/>
    <w:rsid w:val="00584753"/>
    <w:rsid w:val="00593916"/>
    <w:rsid w:val="005A1441"/>
    <w:rsid w:val="005B1441"/>
    <w:rsid w:val="005C64E6"/>
    <w:rsid w:val="005F280C"/>
    <w:rsid w:val="005F3E92"/>
    <w:rsid w:val="00635B94"/>
    <w:rsid w:val="00642870"/>
    <w:rsid w:val="006562A5"/>
    <w:rsid w:val="006626C2"/>
    <w:rsid w:val="006659F8"/>
    <w:rsid w:val="006860F4"/>
    <w:rsid w:val="006C3E78"/>
    <w:rsid w:val="006F17AF"/>
    <w:rsid w:val="006F238F"/>
    <w:rsid w:val="006F6261"/>
    <w:rsid w:val="007068BF"/>
    <w:rsid w:val="00710A4D"/>
    <w:rsid w:val="00714952"/>
    <w:rsid w:val="00717760"/>
    <w:rsid w:val="0073697B"/>
    <w:rsid w:val="00740E66"/>
    <w:rsid w:val="00754B69"/>
    <w:rsid w:val="007759BE"/>
    <w:rsid w:val="0078249C"/>
    <w:rsid w:val="007932E7"/>
    <w:rsid w:val="007C5907"/>
    <w:rsid w:val="007F5E09"/>
    <w:rsid w:val="007F7425"/>
    <w:rsid w:val="00824A7A"/>
    <w:rsid w:val="00831787"/>
    <w:rsid w:val="0083238B"/>
    <w:rsid w:val="0083436C"/>
    <w:rsid w:val="00834560"/>
    <w:rsid w:val="008926B2"/>
    <w:rsid w:val="008A40FA"/>
    <w:rsid w:val="008E3E21"/>
    <w:rsid w:val="00921B14"/>
    <w:rsid w:val="00936F22"/>
    <w:rsid w:val="009472E7"/>
    <w:rsid w:val="00967367"/>
    <w:rsid w:val="009A1190"/>
    <w:rsid w:val="009C3DA9"/>
    <w:rsid w:val="009F1747"/>
    <w:rsid w:val="009F5C22"/>
    <w:rsid w:val="00A00538"/>
    <w:rsid w:val="00A02174"/>
    <w:rsid w:val="00A275A2"/>
    <w:rsid w:val="00A304AB"/>
    <w:rsid w:val="00A673D4"/>
    <w:rsid w:val="00A74AE6"/>
    <w:rsid w:val="00AA5000"/>
    <w:rsid w:val="00AD4670"/>
    <w:rsid w:val="00AD4D58"/>
    <w:rsid w:val="00B02E11"/>
    <w:rsid w:val="00B126BC"/>
    <w:rsid w:val="00B14EC6"/>
    <w:rsid w:val="00B169BB"/>
    <w:rsid w:val="00B20D95"/>
    <w:rsid w:val="00B407E9"/>
    <w:rsid w:val="00B5386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5781C"/>
    <w:rsid w:val="00C7659E"/>
    <w:rsid w:val="00CB2E32"/>
    <w:rsid w:val="00CB5AFD"/>
    <w:rsid w:val="00CC335F"/>
    <w:rsid w:val="00D03964"/>
    <w:rsid w:val="00D325C9"/>
    <w:rsid w:val="00D36956"/>
    <w:rsid w:val="00D37196"/>
    <w:rsid w:val="00D42B5F"/>
    <w:rsid w:val="00D45127"/>
    <w:rsid w:val="00D46B38"/>
    <w:rsid w:val="00D47789"/>
    <w:rsid w:val="00D637CE"/>
    <w:rsid w:val="00D9614E"/>
    <w:rsid w:val="00DB0242"/>
    <w:rsid w:val="00DB69E3"/>
    <w:rsid w:val="00DB7940"/>
    <w:rsid w:val="00DC6C6C"/>
    <w:rsid w:val="00DD0B57"/>
    <w:rsid w:val="00DF0669"/>
    <w:rsid w:val="00DF0F4F"/>
    <w:rsid w:val="00E10BEC"/>
    <w:rsid w:val="00E14286"/>
    <w:rsid w:val="00E15D7E"/>
    <w:rsid w:val="00E54B15"/>
    <w:rsid w:val="00E60A03"/>
    <w:rsid w:val="00E624CE"/>
    <w:rsid w:val="00E7254B"/>
    <w:rsid w:val="00E77491"/>
    <w:rsid w:val="00EA0A01"/>
    <w:rsid w:val="00ED1A2C"/>
    <w:rsid w:val="00ED651F"/>
    <w:rsid w:val="00EE3CAE"/>
    <w:rsid w:val="00F13834"/>
    <w:rsid w:val="00F25CA6"/>
    <w:rsid w:val="00F26E38"/>
    <w:rsid w:val="00F35126"/>
    <w:rsid w:val="00F435E2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F63"/>
  <w15:docId w15:val="{3B5A0540-EF15-466C-ABF8-456CE095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33434-C10F-43AC-8CF1-03A87771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Фролова Наталья Владимировна</cp:lastModifiedBy>
  <cp:revision>4</cp:revision>
  <cp:lastPrinted>2020-03-03T04:16:00Z</cp:lastPrinted>
  <dcterms:created xsi:type="dcterms:W3CDTF">2020-03-07T05:32:00Z</dcterms:created>
  <dcterms:modified xsi:type="dcterms:W3CDTF">2020-03-07T09:13:00Z</dcterms:modified>
</cp:coreProperties>
</file>