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1" w:rsidRPr="000B1401" w:rsidRDefault="000B1401" w:rsidP="000B1401">
      <w:pPr>
        <w:spacing w:line="276" w:lineRule="auto"/>
        <w:jc w:val="right"/>
        <w:rPr>
          <w:rFonts w:cs="Times New Roman"/>
          <w:lang w:val="ru-RU"/>
        </w:rPr>
      </w:pPr>
      <w:r w:rsidRPr="000B1401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0B1401">
        <w:rPr>
          <w:rFonts w:cs="Times New Roman"/>
          <w:lang w:val="ru-RU"/>
        </w:rPr>
        <w:t>РосНИПЧИ</w:t>
      </w:r>
      <w:proofErr w:type="spellEnd"/>
      <w:r w:rsidRPr="000B1401">
        <w:rPr>
          <w:rFonts w:cs="Times New Roman"/>
          <w:lang w:val="ru-RU"/>
        </w:rPr>
        <w:t xml:space="preserve"> «Микроб»</w:t>
      </w:r>
    </w:p>
    <w:p w:rsidR="000B1401" w:rsidRDefault="000B1401" w:rsidP="000B1401">
      <w:pPr>
        <w:spacing w:line="276" w:lineRule="auto"/>
        <w:jc w:val="both"/>
        <w:rPr>
          <w:rFonts w:cs="Times New Roman"/>
          <w:lang w:val="ru-RU"/>
        </w:rPr>
      </w:pPr>
    </w:p>
    <w:p w:rsidR="000B1401" w:rsidRPr="000B1401" w:rsidRDefault="000B1401" w:rsidP="000B1401">
      <w:pPr>
        <w:spacing w:line="276" w:lineRule="auto"/>
        <w:jc w:val="center"/>
        <w:rPr>
          <w:rFonts w:cs="Times New Roman"/>
          <w:b/>
          <w:lang w:val="ru-RU"/>
        </w:rPr>
      </w:pPr>
      <w:r w:rsidRPr="000B1401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0B1401" w:rsidRPr="000B1401" w:rsidRDefault="000B1401" w:rsidP="000B1401">
      <w:pPr>
        <w:spacing w:line="276" w:lineRule="auto"/>
        <w:jc w:val="center"/>
        <w:rPr>
          <w:rFonts w:cs="Times New Roman"/>
          <w:b/>
          <w:lang w:val="ru-RU"/>
        </w:rPr>
      </w:pPr>
      <w:r w:rsidRPr="000B1401">
        <w:rPr>
          <w:rFonts w:cs="Times New Roman"/>
          <w:b/>
          <w:lang w:val="ru-RU"/>
        </w:rPr>
        <w:t>по состоянию на 08.00 (МСК) от 13.03.2020 г.</w:t>
      </w:r>
    </w:p>
    <w:p w:rsidR="000B1401" w:rsidRPr="000B1401" w:rsidRDefault="000B1401" w:rsidP="000B1401">
      <w:pPr>
        <w:spacing w:line="276" w:lineRule="auto"/>
        <w:jc w:val="both"/>
        <w:rPr>
          <w:rFonts w:cs="Times New Roman"/>
          <w:lang w:val="ru-RU"/>
        </w:rPr>
      </w:pPr>
    </w:p>
    <w:p w:rsidR="000B1401" w:rsidRPr="000B1401" w:rsidRDefault="000B1401" w:rsidP="000B1401">
      <w:pPr>
        <w:pStyle w:val="a6"/>
        <w:numPr>
          <w:ilvl w:val="0"/>
          <w:numId w:val="27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0B1401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12.03.2020 г. (19.00 по </w:t>
      </w:r>
      <w:proofErr w:type="spellStart"/>
      <w:r w:rsidRPr="000B1401">
        <w:rPr>
          <w:rFonts w:cs="Times New Roman"/>
          <w:lang w:val="ru-RU"/>
        </w:rPr>
        <w:t>мск</w:t>
      </w:r>
      <w:proofErr w:type="spellEnd"/>
      <w:r w:rsidRPr="000B1401">
        <w:rPr>
          <w:rFonts w:cs="Times New Roman"/>
          <w:lang w:val="ru-RU"/>
        </w:rPr>
        <w:t xml:space="preserve">) в целом в </w:t>
      </w:r>
      <w:r w:rsidRPr="009E4BAF">
        <w:rPr>
          <w:rFonts w:cs="Times New Roman"/>
          <w:b/>
          <w:lang w:val="ru-RU"/>
        </w:rPr>
        <w:t>КНР</w:t>
      </w:r>
      <w:r w:rsidRPr="000B1401">
        <w:rPr>
          <w:rFonts w:cs="Times New Roman"/>
          <w:lang w:val="ru-RU"/>
        </w:rPr>
        <w:t xml:space="preserve"> зарегистрировано случаев заболевания – </w:t>
      </w:r>
      <w:r w:rsidRPr="009E4BAF">
        <w:rPr>
          <w:rFonts w:cs="Times New Roman"/>
          <w:b/>
          <w:lang w:val="ru-RU"/>
        </w:rPr>
        <w:t>81003</w:t>
      </w:r>
      <w:r w:rsidRPr="000B1401">
        <w:rPr>
          <w:rFonts w:cs="Times New Roman"/>
          <w:lang w:val="ru-RU"/>
        </w:rPr>
        <w:t xml:space="preserve">. За сутки с 00.00 12.03.2020 по 00.00 (время Пекина) 13.03.2020 г. прирост составил 23 случаев (0,03%). </w:t>
      </w:r>
    </w:p>
    <w:p w:rsidR="000B1401" w:rsidRPr="000B1401" w:rsidRDefault="000B1401" w:rsidP="000B1401">
      <w:pPr>
        <w:pStyle w:val="a6"/>
        <w:numPr>
          <w:ilvl w:val="0"/>
          <w:numId w:val="27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0B1401">
        <w:rPr>
          <w:rFonts w:cs="Times New Roman"/>
          <w:lang w:val="ru-RU"/>
        </w:rPr>
        <w:t xml:space="preserve">Случаев с летальным исходом – 3180 (прирост 7; летальность 3,9%; вне провинции </w:t>
      </w:r>
      <w:proofErr w:type="spellStart"/>
      <w:r w:rsidRPr="000B1401">
        <w:rPr>
          <w:rFonts w:cs="Times New Roman"/>
          <w:lang w:val="ru-RU"/>
        </w:rPr>
        <w:t>Хубэй</w:t>
      </w:r>
      <w:proofErr w:type="spellEnd"/>
      <w:r w:rsidRPr="000B1401">
        <w:rPr>
          <w:rFonts w:cs="Times New Roman"/>
          <w:lang w:val="ru-RU"/>
        </w:rPr>
        <w:t xml:space="preserve"> – 0,89%). В тяжёлом состоянии находятся 4020 человек (5,0%). Выписано 64216 человек (прирост 1327; 2%). Отслежено контактных лиц - 678088 (845 за последние сутки, прирост 0,1%), 12161 находятся под наблюдением. </w:t>
      </w:r>
    </w:p>
    <w:p w:rsidR="00B5256D" w:rsidRPr="000B1401" w:rsidRDefault="000B1401" w:rsidP="000B1401">
      <w:pPr>
        <w:pStyle w:val="a6"/>
        <w:numPr>
          <w:ilvl w:val="0"/>
          <w:numId w:val="27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r w:rsidRPr="000B1401">
        <w:rPr>
          <w:rFonts w:cs="Times New Roman"/>
          <w:lang w:val="ru-RU"/>
        </w:rPr>
        <w:t xml:space="preserve">Всего в </w:t>
      </w:r>
      <w:r w:rsidRPr="009E4BAF">
        <w:rPr>
          <w:rFonts w:cs="Times New Roman"/>
          <w:b/>
          <w:lang w:val="ru-RU"/>
        </w:rPr>
        <w:t>мире</w:t>
      </w:r>
      <w:r w:rsidRPr="000B1401">
        <w:rPr>
          <w:rFonts w:cs="Times New Roman"/>
          <w:lang w:val="ru-RU"/>
        </w:rPr>
        <w:t xml:space="preserve"> по состоянию на 08.00 по </w:t>
      </w:r>
      <w:proofErr w:type="spellStart"/>
      <w:r w:rsidRPr="000B1401">
        <w:rPr>
          <w:rFonts w:cs="Times New Roman"/>
          <w:lang w:val="ru-RU"/>
        </w:rPr>
        <w:t>мск</w:t>
      </w:r>
      <w:proofErr w:type="spellEnd"/>
      <w:r w:rsidRPr="000B1401">
        <w:rPr>
          <w:rFonts w:cs="Times New Roman"/>
          <w:lang w:val="ru-RU"/>
        </w:rPr>
        <w:t xml:space="preserve"> 03.13.2020 г. из доступных источников известно о </w:t>
      </w:r>
      <w:r w:rsidRPr="009E4BAF">
        <w:rPr>
          <w:rFonts w:cs="Times New Roman"/>
          <w:b/>
          <w:lang w:val="ru-RU"/>
        </w:rPr>
        <w:t>132756</w:t>
      </w:r>
      <w:r w:rsidRPr="000B1401">
        <w:rPr>
          <w:rFonts w:cs="Times New Roman"/>
          <w:lang w:val="ru-RU"/>
        </w:rPr>
        <w:t xml:space="preserve"> подтверждённых случаях (прирост за сутки 6731 случаев; 5,3%). В 111 странах мира вне КНР зарегистрировано 51753 случаев (за последние сутки прирост 6708; 14,9%).</w:t>
      </w:r>
    </w:p>
    <w:p w:rsidR="00B657F5" w:rsidRPr="00E7254B" w:rsidRDefault="00AA5000" w:rsidP="000B1401">
      <w:pPr>
        <w:pStyle w:val="a6"/>
        <w:numPr>
          <w:ilvl w:val="0"/>
          <w:numId w:val="27"/>
        </w:numPr>
        <w:spacing w:before="240" w:line="276" w:lineRule="auto"/>
        <w:ind w:left="284"/>
        <w:jc w:val="both"/>
        <w:rPr>
          <w:rFonts w:cs="Times New Roman"/>
          <w:lang w:val="ru-RU"/>
        </w:rPr>
      </w:pPr>
      <w:proofErr w:type="spellStart"/>
      <w:r w:rsidRPr="00E7254B">
        <w:rPr>
          <w:rFonts w:cs="Times New Roman"/>
        </w:rPr>
        <w:t>За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последние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сутки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впервые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случаи</w:t>
      </w:r>
      <w:proofErr w:type="spellEnd"/>
      <w:r w:rsidRPr="00E7254B">
        <w:rPr>
          <w:rFonts w:cs="Times New Roman"/>
        </w:rPr>
        <w:t xml:space="preserve"> </w:t>
      </w:r>
      <w:proofErr w:type="spellStart"/>
      <w:r w:rsidRPr="00E7254B">
        <w:rPr>
          <w:rFonts w:cs="Times New Roman"/>
        </w:rPr>
        <w:t>зарегистрированы</w:t>
      </w:r>
      <w:proofErr w:type="spellEnd"/>
      <w:r w:rsidRPr="00E7254B">
        <w:rPr>
          <w:rFonts w:cs="Times New Roman"/>
        </w:rPr>
        <w:t xml:space="preserve"> в</w:t>
      </w:r>
      <w:r w:rsidR="00B5256D">
        <w:rPr>
          <w:rFonts w:cs="Times New Roman"/>
          <w:lang w:val="ru-RU"/>
        </w:rPr>
        <w:t xml:space="preserve"> Гайане (1; из США), на Кубе (3; из Италии)</w:t>
      </w:r>
      <w:r w:rsidR="00611CE3">
        <w:rPr>
          <w:rFonts w:cs="Times New Roman"/>
          <w:lang w:val="ru-RU"/>
        </w:rPr>
        <w:t xml:space="preserve">. </w:t>
      </w:r>
      <w:r w:rsidR="009A1190" w:rsidRPr="00E7254B">
        <w:rPr>
          <w:rFonts w:cs="Times New Roman"/>
          <w:lang w:val="ru-RU"/>
        </w:rPr>
        <w:t xml:space="preserve"> </w:t>
      </w:r>
    </w:p>
    <w:p w:rsidR="00AA5000" w:rsidRPr="00635B94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0B1401" w:rsidRPr="007E6987" w:rsidTr="000B140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B1401" w:rsidRPr="007E6987" w:rsidRDefault="000B1401" w:rsidP="000B140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0B1401" w:rsidRPr="007E6987" w:rsidTr="000B140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B1401" w:rsidRPr="007E6987" w:rsidRDefault="000B1401" w:rsidP="000B14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81003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23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0,03%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3180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  <w:tr w:rsidR="000B1401" w:rsidRPr="007E6987" w:rsidTr="000B140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B1401" w:rsidRPr="007E6987" w:rsidRDefault="000B1401" w:rsidP="000B14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51753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6708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14,9%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1784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337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3,5%</w:t>
            </w:r>
            <w:r>
              <w:rPr>
                <w:rFonts w:cs="Times New Roman"/>
              </w:rPr>
              <w:fldChar w:fldCharType="end"/>
            </w:r>
          </w:p>
        </w:tc>
      </w:tr>
      <w:tr w:rsidR="000B1401" w:rsidRPr="007E6987" w:rsidTr="000B140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0B1401" w:rsidRPr="007E6987" w:rsidRDefault="000B1401" w:rsidP="000B140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132756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6731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5,3%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4964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344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0B1401" w:rsidRPr="007E6987" w:rsidRDefault="00A84780" w:rsidP="000B140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0B1401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0B1401" w:rsidRPr="00115C61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9E4BAF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9340" cy="2505075"/>
            <wp:effectExtent l="0" t="0" r="0" b="0"/>
            <wp:docPr id="1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9E4BAF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84315" cy="3365500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75737" w:rsidRPr="00B679C4" w:rsidTr="00E7573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52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ED1A2C" w:rsidRDefault="000B1401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ED1A2C" w:rsidRDefault="000B1401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401" w:rsidRPr="00ED1A2C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0A189A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F25CA6" w:rsidRDefault="000B1401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34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2D6AAE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401" w:rsidRPr="00F25CA6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2651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10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4D0E7F" w:rsidRDefault="000B1401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4D0E7F" w:rsidRDefault="000B1401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4D0E7F" w:rsidRDefault="000B1401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16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F435E2" w:rsidRDefault="000B1401" w:rsidP="00E75737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Default="000B1401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0B1401" w:rsidRPr="00F435E2" w:rsidRDefault="000B1401" w:rsidP="00E7254B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B679C4" w:rsidRDefault="000B140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B679C4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B679C4" w:rsidRDefault="000B1401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Pr="004D0E7F" w:rsidRDefault="000B1401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 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4A524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4A524F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Default="000B1401" w:rsidP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Default="000B1401" w:rsidP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Default="000B1401" w:rsidP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Default="000B1401" w:rsidP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Default="000B1401" w:rsidP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Pr="00E75737" w:rsidRDefault="000B1401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01" w:rsidRDefault="000B1401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Гайана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B1401" w:rsidRPr="000F15C0" w:rsidRDefault="000B1401" w:rsidP="000B14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0B1401" w:rsidRPr="000B1401" w:rsidRDefault="000B1401" w:rsidP="000B14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1401" w:rsidRDefault="000B1401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401" w:rsidRDefault="000B1401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Куба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B1401" w:rsidRPr="000F15C0" w:rsidRDefault="000B1401" w:rsidP="000B140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0B1401" w:rsidRPr="000F15C0" w:rsidRDefault="000B1401" w:rsidP="000B14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0B1401" w:rsidRPr="000B1401" w:rsidRDefault="000B140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10075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276"/>
          <w:jc w:val="center"/>
        </w:trPr>
        <w:tc>
          <w:tcPr>
            <w:tcW w:w="13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B1401" w:rsidRPr="00B679C4" w:rsidRDefault="000B1401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 w:rsidP="00D915D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B6010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B6010A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0B1401" w:rsidRPr="00B679C4" w:rsidRDefault="000B140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Pr="00B679C4" w:rsidRDefault="000B1401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0B1401" w:rsidRDefault="000B14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401" w:rsidRDefault="000B14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01" w:rsidRPr="00E75737" w:rsidRDefault="000B1401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0B1401" w:rsidRPr="00B679C4" w:rsidTr="004A524F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0B1401" w:rsidRPr="00B679C4" w:rsidRDefault="000B1401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0B1401" w:rsidRPr="00B679C4" w:rsidRDefault="000B140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0B1401" w:rsidRPr="0063776E" w:rsidRDefault="00A84780" w:rsidP="0063776E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0B1401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0B1401">
              <w:rPr>
                <w:noProof/>
                <w:lang w:val="ru-RU"/>
              </w:rPr>
              <w:t>132756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0B1401" w:rsidRPr="0063776E" w:rsidRDefault="00A84780" w:rsidP="004A524F">
            <w:pPr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0B1401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0B1401">
              <w:rPr>
                <w:noProof/>
                <w:lang w:val="ru-RU"/>
              </w:rPr>
              <w:t>6731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0B1401" w:rsidRPr="00882976" w:rsidRDefault="00A84780" w:rsidP="004A524F">
            <w:fldSimple w:instr=" =SUM(ABOVE) ">
              <w:r w:rsidR="000B1401">
                <w:rPr>
                  <w:noProof/>
                </w:rPr>
                <w:t>4964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0B1401" w:rsidRDefault="00A84780" w:rsidP="004A524F">
            <w:fldSimple w:instr=" =SUM(ABOVE) ">
              <w:r w:rsidR="000B1401">
                <w:rPr>
                  <w:noProof/>
                </w:rPr>
                <w:t>344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0B1401" w:rsidRDefault="000B1401" w:rsidP="00E7573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710A4D" w:rsidRDefault="00710A4D" w:rsidP="00DB7940">
      <w:pPr>
        <w:rPr>
          <w:lang w:val="ru-RU"/>
        </w:rPr>
      </w:pPr>
    </w:p>
    <w:p w:rsidR="00DB7940" w:rsidRPr="00710A4D" w:rsidRDefault="00DB7940" w:rsidP="00DB7940">
      <w:pPr>
        <w:rPr>
          <w:lang w:val="ru-RU"/>
        </w:rPr>
      </w:pPr>
    </w:p>
    <w:p w:rsidR="009250F7" w:rsidRDefault="009E4BAF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377180" cy="30911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B5256D">
        <w:rPr>
          <w:rFonts w:cs="Times New Roman"/>
          <w:lang w:val="ru-RU"/>
        </w:rPr>
        <w:t>59</w:t>
      </w:r>
      <w:r w:rsidRPr="00F35126">
        <w:rPr>
          <w:rFonts w:cs="Times New Roman"/>
          <w:lang w:val="ru-RU"/>
        </w:rPr>
        <w:t xml:space="preserve">%), </w:t>
      </w:r>
      <w:proofErr w:type="spellStart"/>
      <w:r w:rsidRPr="00F35126">
        <w:rPr>
          <w:rFonts w:cs="Times New Roman"/>
          <w:lang w:val="ru-RU"/>
        </w:rPr>
        <w:t>Эмилия-Романья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B5256D">
        <w:rPr>
          <w:rFonts w:cs="Times New Roman"/>
          <w:lang w:val="ru-RU"/>
        </w:rPr>
        <w:t>14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8</w:t>
      </w:r>
      <w:r w:rsidRPr="00F35126">
        <w:rPr>
          <w:rFonts w:cs="Times New Roman"/>
          <w:lang w:val="ru-RU"/>
        </w:rPr>
        <w:t>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</w:t>
      </w:r>
      <w:r w:rsidR="009A402B" w:rsidRPr="002F0E58">
        <w:rPr>
          <w:rFonts w:cs="Times New Roman"/>
          <w:lang w:val="ru-RU"/>
        </w:rPr>
        <w:t xml:space="preserve">мире  - </w:t>
      </w:r>
      <w:r w:rsidR="006E76E1" w:rsidRPr="002F0E58">
        <w:rPr>
          <w:rFonts w:cs="Times New Roman"/>
          <w:lang w:val="ru-RU"/>
        </w:rPr>
        <w:t>6,</w:t>
      </w:r>
      <w:r w:rsidR="002F0E58" w:rsidRPr="002F0E58">
        <w:rPr>
          <w:rFonts w:cs="Times New Roman"/>
          <w:lang w:val="ru-RU"/>
        </w:rPr>
        <w:t>7</w:t>
      </w:r>
      <w:r w:rsidR="009A402B" w:rsidRPr="002F0E58">
        <w:rPr>
          <w:rFonts w:cs="Times New Roman"/>
          <w:lang w:val="ru-RU"/>
        </w:rPr>
        <w:t xml:space="preserve"> %.</w:t>
      </w:r>
      <w:r w:rsidR="009A402B"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>Всего зарегистрировано 15113 случаев (+2651 за последние сутки).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</w:t>
      </w:r>
      <w:proofErr w:type="gramStart"/>
      <w:r>
        <w:rPr>
          <w:color w:val="000000"/>
        </w:rPr>
        <w:t>Разместить информацию</w:t>
      </w:r>
      <w:proofErr w:type="gramEnd"/>
      <w:r>
        <w:rPr>
          <w:color w:val="000000"/>
        </w:rPr>
        <w:t xml:space="preserve">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6530FE" w:rsidRDefault="005276D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Реджонель-Эмилия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  <w:r w:rsidR="006530FE">
        <w:rPr>
          <w:rFonts w:cs="Times New Roman"/>
          <w:lang w:val="ru-RU"/>
        </w:rPr>
        <w:t xml:space="preserve"> </w:t>
      </w:r>
    </w:p>
    <w:p w:rsidR="005276D8" w:rsidRDefault="006530FE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Вечером 09.03.20 Премьер-министр Италии заявил, что меры по ограничению передвижения и другие карантинные меры из-за вспышки </w:t>
      </w:r>
      <w:proofErr w:type="spellStart"/>
      <w:r w:rsidRPr="006530FE">
        <w:rPr>
          <w:rFonts w:cs="Times New Roman"/>
          <w:lang w:val="ru-RU"/>
        </w:rPr>
        <w:t>коронавируса</w:t>
      </w:r>
      <w:proofErr w:type="spellEnd"/>
      <w:r w:rsidRPr="006530FE">
        <w:rPr>
          <w:rFonts w:cs="Times New Roman"/>
          <w:lang w:val="ru-RU"/>
        </w:rPr>
        <w:t xml:space="preserve"> будут распрост</w:t>
      </w:r>
      <w:r>
        <w:rPr>
          <w:rFonts w:cs="Times New Roman"/>
          <w:lang w:val="ru-RU"/>
        </w:rPr>
        <w:t>ранены на всю территорию страны. Н</w:t>
      </w:r>
      <w:r w:rsidRPr="006530FE">
        <w:rPr>
          <w:rFonts w:cs="Times New Roman"/>
          <w:lang w:val="ru-RU"/>
        </w:rPr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В соответствии с новыми мерами, все бары и рестораны в Италии должны закрываться в шесть часов вечера. Их работа в дневное время возможна только при соблюдении дистанции между посетителями. Учеба в школах и университетах прекращена до 3 апреля. Закрываются пабы, дискотеки, залы для азартных игр. Запрещены все церемонии, включая свадьбы, похороны и церковные службы, не работают театры, кино, музеи и спортивные залы.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527B6B">
        <w:rPr>
          <w:rFonts w:cs="Times New Roman"/>
          <w:lang w:val="ru-RU"/>
        </w:rPr>
        <w:t xml:space="preserve">Власти Италии расширили меры борьбы против распространения </w:t>
      </w:r>
      <w:proofErr w:type="spellStart"/>
      <w:r w:rsidRPr="00527B6B">
        <w:rPr>
          <w:rFonts w:cs="Times New Roman"/>
          <w:lang w:val="ru-RU"/>
        </w:rPr>
        <w:t>коронавируса</w:t>
      </w:r>
      <w:proofErr w:type="spellEnd"/>
      <w:r w:rsidRPr="00527B6B">
        <w:rPr>
          <w:rFonts w:cs="Times New Roman"/>
          <w:lang w:val="ru-RU"/>
        </w:rPr>
        <w:t xml:space="preserve"> SARS-CoV-2. С 12 марта по всей стране будут закрыты бары, рестораны, а также почти все магазины, объявил в среду, 11 марта, премьер-министр Джузеппе Конте. Решение не коснется аптек и супермаркетов, подчеркнул </w:t>
      </w:r>
      <w:proofErr w:type="gramStart"/>
      <w:r w:rsidRPr="00527B6B">
        <w:rPr>
          <w:rFonts w:cs="Times New Roman"/>
          <w:lang w:val="ru-RU"/>
        </w:rPr>
        <w:t>Конте</w:t>
      </w:r>
      <w:proofErr w:type="gramEnd"/>
      <w:r w:rsidRPr="00527B6B">
        <w:rPr>
          <w:rFonts w:cs="Times New Roman"/>
          <w:lang w:val="ru-RU"/>
        </w:rPr>
        <w:t>. В канцелярии премьера добавили, что эта мера будет действовать до 25 марта.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E4BAF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 Всего в стране зарегистрировано 7979 случаев заболевания (110 за последние сутки). Летальность составляет 0,8%.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E4BAF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992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Default="009250F7" w:rsidP="009250F7">
      <w:pPr>
        <w:shd w:val="clear" w:color="auto" w:fill="FFFFFF"/>
        <w:spacing w:before="180" w:line="276" w:lineRule="auto"/>
        <w:ind w:right="-851"/>
        <w:rPr>
          <w:rFonts w:cs="Times New Roman"/>
          <w:lang w:val="ru-RU"/>
        </w:rPr>
      </w:pPr>
    </w:p>
    <w:p w:rsidR="009250F7" w:rsidRPr="00A00538" w:rsidRDefault="009250F7" w:rsidP="00D40A1D">
      <w:pPr>
        <w:shd w:val="clear" w:color="auto" w:fill="FFFFFF"/>
        <w:spacing w:before="180" w:line="276" w:lineRule="auto"/>
        <w:ind w:right="-851" w:firstLine="708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</w:t>
      </w:r>
      <w:r w:rsidR="004D7BCD">
        <w:rPr>
          <w:rFonts w:cs="Times New Roman"/>
          <w:lang w:val="ru-RU"/>
        </w:rPr>
        <w:t>31</w:t>
      </w:r>
      <w:r w:rsidRPr="00A00538">
        <w:rPr>
          <w:rFonts w:cs="Times New Roman"/>
          <w:lang w:val="ru-RU"/>
        </w:rPr>
        <w:t xml:space="preserve">%). </w:t>
      </w:r>
      <w:r w:rsidR="004D7BCD">
        <w:rPr>
          <w:rFonts w:cs="Times New Roman"/>
          <w:lang w:val="ru-RU"/>
        </w:rPr>
        <w:t>При этом случаи заболевания зарегистрированы во всех провинциях страны.</w:t>
      </w:r>
      <w:r w:rsidR="002F0E58">
        <w:rPr>
          <w:rFonts w:cs="Times New Roman"/>
          <w:lang w:val="ru-RU"/>
        </w:rPr>
        <w:t xml:space="preserve"> Всего зарегистрировано 10075 случаев (1075 за последние сутки). Летальность составляет 4,3%.</w:t>
      </w:r>
    </w:p>
    <w:p w:rsidR="009250F7" w:rsidRDefault="009250F7" w:rsidP="00D40A1D">
      <w:pPr>
        <w:pStyle w:val="a6"/>
        <w:shd w:val="clear" w:color="auto" w:fill="FFFFFF"/>
        <w:spacing w:before="180" w:line="276" w:lineRule="auto"/>
        <w:ind w:left="0" w:right="-851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D40A1D">
      <w:pPr>
        <w:pStyle w:val="a6"/>
        <w:shd w:val="clear" w:color="auto" w:fill="FFFFFF"/>
        <w:spacing w:before="180" w:line="276" w:lineRule="auto"/>
        <w:ind w:left="0" w:right="-851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9E4BAF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944110" cy="2755900"/>
            <wp:effectExtent l="19050" t="0" r="889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Германии </w:t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 Германии </w:t>
      </w:r>
      <w:r>
        <w:rPr>
          <w:rFonts w:cs="Times New Roman"/>
          <w:lang w:val="ru-RU"/>
        </w:rPr>
        <w:t>к наиболее поражённым регионам относятся Северный Рейн-Вестфалия (</w:t>
      </w:r>
      <w:r w:rsidR="00B5256D">
        <w:rPr>
          <w:rFonts w:cs="Times New Roman"/>
          <w:lang w:val="ru-RU"/>
        </w:rPr>
        <w:t>41</w:t>
      </w:r>
      <w:r>
        <w:rPr>
          <w:rFonts w:cs="Times New Roman"/>
          <w:lang w:val="ru-RU"/>
        </w:rPr>
        <w:t xml:space="preserve">%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>), Бавария (22,5%) и Баден-Вюртемберг (</w:t>
      </w:r>
      <w:r w:rsidR="00B5256D">
        <w:rPr>
          <w:rFonts w:cs="Times New Roman"/>
          <w:lang w:val="ru-RU"/>
        </w:rPr>
        <w:t>18</w:t>
      </w:r>
      <w:r>
        <w:rPr>
          <w:rFonts w:cs="Times New Roman"/>
          <w:lang w:val="ru-RU"/>
        </w:rPr>
        <w:t xml:space="preserve">%). </w:t>
      </w:r>
      <w:r w:rsidR="002F0E58">
        <w:rPr>
          <w:rFonts w:cs="Times New Roman"/>
          <w:lang w:val="ru-RU"/>
        </w:rPr>
        <w:t xml:space="preserve"> Всего в стране зарегистрировано 2078 случаев (401 за последние сутки). Летальность составляет 0,1% (3 случая).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28.02 </w:t>
      </w:r>
      <w:r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Железнодорожные компании должны сообщать властям о пассажирах с симптомами, а федеральная полиция будет проводить проверки в пределах 30 километров от границы. </w:t>
      </w:r>
      <w:r>
        <w:rPr>
          <w:rFonts w:cs="Times New Roman"/>
          <w:lang w:val="ru-RU"/>
        </w:rPr>
        <w:t xml:space="preserve">В стране отменены некоторые мероприятия (книжная ярмарка в Лейпциге, выставка туризма в Берлине и другие). 04.03.20 Германия запретила вывоз </w:t>
      </w:r>
      <w:r w:rsidRPr="006530FE">
        <w:rPr>
          <w:rFonts w:cs="Times New Roman"/>
          <w:lang w:val="ru-RU"/>
        </w:rPr>
        <w:t>защитных масок, перчаток и костюмов.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6 марта министр здравоохранения Германии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исключил «любые меры, ведущие к ограничениям на поездки» в Европейском союзе, и высказался против закрытия всех школ и университетов в Германии.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рекомендовал не совершать ненужных поездок и предложил людям, прибывающим из зон риска, оставаться дома. Институт Роберта Коха подчеркнул, что маски и дезинфицирующие средства не должны использоваться здоровыми лицами.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Pr="006530FE" w:rsidRDefault="009E4BAF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3900" cy="3286125"/>
            <wp:effectExtent l="19050" t="0" r="635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>
        <w:rPr>
          <w:rFonts w:cs="Times New Roman"/>
          <w:lang w:val="ru-RU"/>
        </w:rPr>
        <w:t xml:space="preserve"> во Франции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P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 xml:space="preserve">Во Франции в большинстве регионов </w:t>
      </w:r>
      <w:proofErr w:type="gramStart"/>
      <w:r w:rsidRPr="004D7BCD">
        <w:rPr>
          <w:rFonts w:cs="Times New Roman"/>
          <w:lang w:val="ru-RU"/>
        </w:rPr>
        <w:t>зарегистрированы</w:t>
      </w:r>
      <w:proofErr w:type="gramEnd"/>
      <w:r w:rsidRPr="004D7BCD">
        <w:rPr>
          <w:rFonts w:cs="Times New Roman"/>
          <w:lang w:val="ru-RU"/>
        </w:rPr>
        <w:t xml:space="preserve"> случая </w:t>
      </w:r>
      <w:r w:rsidRPr="004D7BCD">
        <w:rPr>
          <w:rFonts w:cs="Times New Roman"/>
          <w:lang w:val="en-US"/>
        </w:rPr>
        <w:t>COVID</w:t>
      </w:r>
      <w:r w:rsidRPr="004D7BCD">
        <w:rPr>
          <w:rFonts w:cs="Times New Roman"/>
          <w:lang w:val="ru-RU"/>
        </w:rPr>
        <w:t>-19. Бол</w:t>
      </w:r>
      <w:r>
        <w:rPr>
          <w:rFonts w:cs="Times New Roman"/>
          <w:lang w:val="ru-RU"/>
        </w:rPr>
        <w:t xml:space="preserve">ьше всего поражены регионы Гранд-Эст (около 26% случаев) и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 (около 19% случаев). </w:t>
      </w:r>
      <w:r w:rsidR="002F0E58">
        <w:rPr>
          <w:rFonts w:cs="Times New Roman"/>
          <w:lang w:val="ru-RU"/>
        </w:rPr>
        <w:t>Всего в стране зарегистрировано 2876 случаев (595 за последние сутки). Летальность составляет 2,1%.</w:t>
      </w:r>
    </w:p>
    <w:p w:rsidR="004D7BCD" w:rsidRP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ab/>
        <w:t xml:space="preserve">04.02.20 </w:t>
      </w:r>
      <w:proofErr w:type="spellStart"/>
      <w:r w:rsidRPr="004D7BCD">
        <w:rPr>
          <w:rFonts w:cs="Times New Roman"/>
          <w:lang w:val="ru-RU"/>
        </w:rPr>
        <w:t>Air</w:t>
      </w:r>
      <w:proofErr w:type="spellEnd"/>
      <w:r w:rsidRPr="004D7BCD">
        <w:rPr>
          <w:rFonts w:cs="Times New Roman"/>
          <w:lang w:val="ru-RU"/>
        </w:rPr>
        <w:t xml:space="preserve"> </w:t>
      </w:r>
      <w:proofErr w:type="spellStart"/>
      <w:r w:rsidRPr="004D7BCD">
        <w:rPr>
          <w:rFonts w:cs="Times New Roman"/>
          <w:lang w:val="ru-RU"/>
        </w:rPr>
        <w:t>France</w:t>
      </w:r>
      <w:proofErr w:type="spellEnd"/>
      <w:r>
        <w:rPr>
          <w:rFonts w:cs="Times New Roman"/>
          <w:lang w:val="ru-RU"/>
        </w:rPr>
        <w:t xml:space="preserve"> приостановила все перелёты между Францией и КНР.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03.03.20 были закрыты около 120 школ, преимущественно в регионе Бретань и департаменте Уаза региона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По сообщениям от 09.03.20 в</w:t>
      </w:r>
      <w:r w:rsidRPr="004044DE">
        <w:rPr>
          <w:rFonts w:cs="Times New Roman"/>
          <w:lang w:val="ru-RU"/>
        </w:rPr>
        <w:t xml:space="preserve">се мероприятия, число участников которых превышает тысячу человек, запрещены во Франции, заявил министр здравоохранения страны Оливье </w:t>
      </w:r>
      <w:proofErr w:type="spellStart"/>
      <w:r w:rsidRPr="004044DE">
        <w:rPr>
          <w:rFonts w:cs="Times New Roman"/>
          <w:lang w:val="ru-RU"/>
        </w:rPr>
        <w:t>Веран</w:t>
      </w:r>
      <w:proofErr w:type="spellEnd"/>
      <w:r w:rsidRPr="004044D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4044DE">
        <w:rPr>
          <w:rFonts w:cs="Times New Roman"/>
          <w:lang w:val="ru-RU"/>
        </w:rPr>
        <w:t>Из-за распространения заболевания был перенесён Парижский марафон и отменены или перенесены международные выставки и салоны.</w:t>
      </w: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A524F" w:rsidRDefault="009E4BA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810250" cy="324358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Испании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5256D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Натбольшее</w:t>
      </w:r>
      <w:proofErr w:type="spellEnd"/>
      <w:r>
        <w:rPr>
          <w:rFonts w:cs="Times New Roman"/>
          <w:lang w:val="ru-RU"/>
        </w:rPr>
        <w:t xml:space="preserve"> количество случаев зарегистрировано в автономном сообществе Мадрид (45%).</w:t>
      </w:r>
      <w:r w:rsidR="002F0E58">
        <w:rPr>
          <w:rFonts w:cs="Times New Roman"/>
          <w:lang w:val="ru-RU"/>
        </w:rPr>
        <w:t xml:space="preserve"> Всего в стране зарегистрировано 2968 случаев (за последние  сутки - 691). Летальность составляет 2,9%.</w:t>
      </w:r>
    </w:p>
    <w:p w:rsidR="0037778B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37778B">
        <w:rPr>
          <w:rFonts w:cs="Times New Roman"/>
          <w:lang w:val="ru-RU"/>
        </w:rPr>
        <w:t xml:space="preserve"> </w:t>
      </w:r>
      <w:r w:rsidR="004A524F">
        <w:rPr>
          <w:rFonts w:cs="Times New Roman"/>
          <w:lang w:val="ru-RU"/>
        </w:rPr>
        <w:t>автономных сообществ</w:t>
      </w:r>
      <w:r w:rsidR="0037778B">
        <w:rPr>
          <w:rFonts w:cs="Times New Roman"/>
          <w:lang w:val="ru-RU"/>
        </w:rPr>
        <w:t>ах</w:t>
      </w:r>
      <w:r w:rsidR="004A524F">
        <w:rPr>
          <w:rFonts w:cs="Times New Roman"/>
          <w:lang w:val="ru-RU"/>
        </w:rPr>
        <w:t xml:space="preserve"> Мадрид и </w:t>
      </w:r>
      <w:proofErr w:type="spellStart"/>
      <w:r w:rsidR="004A524F">
        <w:rPr>
          <w:rFonts w:cs="Times New Roman"/>
          <w:lang w:val="ru-RU"/>
        </w:rPr>
        <w:t>Риоха</w:t>
      </w:r>
      <w:proofErr w:type="spellEnd"/>
      <w:r w:rsidR="0037778B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а также в </w:t>
      </w:r>
      <w:r w:rsidR="0037778B">
        <w:rPr>
          <w:rFonts w:cs="Times New Roman"/>
          <w:lang w:val="ru-RU"/>
        </w:rPr>
        <w:t xml:space="preserve"> </w:t>
      </w:r>
      <w:proofErr w:type="gramStart"/>
      <w:r w:rsidR="0037778B">
        <w:rPr>
          <w:rFonts w:cs="Times New Roman"/>
          <w:lang w:val="ru-RU"/>
        </w:rPr>
        <w:t>г</w:t>
      </w:r>
      <w:proofErr w:type="gramEnd"/>
      <w:r w:rsidR="0037778B">
        <w:rPr>
          <w:rFonts w:cs="Times New Roman"/>
          <w:lang w:val="ru-RU"/>
        </w:rPr>
        <w:t xml:space="preserve">. </w:t>
      </w:r>
      <w:proofErr w:type="spellStart"/>
      <w:r w:rsidR="0037778B">
        <w:rPr>
          <w:rFonts w:cs="Times New Roman"/>
          <w:lang w:val="ru-RU"/>
        </w:rPr>
        <w:t>Виктория-Гастейс</w:t>
      </w:r>
      <w:proofErr w:type="spellEnd"/>
      <w:r w:rsidR="0037778B">
        <w:rPr>
          <w:rFonts w:cs="Times New Roman"/>
          <w:lang w:val="ru-RU"/>
        </w:rPr>
        <w:t xml:space="preserve"> автономного сообщества Страна Басков – </w:t>
      </w:r>
      <w:r w:rsidR="004A524F">
        <w:rPr>
          <w:rFonts w:cs="Times New Roman"/>
          <w:lang w:val="ru-RU"/>
        </w:rPr>
        <w:t>закры</w:t>
      </w:r>
      <w:r w:rsidR="0037778B">
        <w:rPr>
          <w:rFonts w:cs="Times New Roman"/>
          <w:lang w:val="ru-RU"/>
        </w:rPr>
        <w:t>ты</w:t>
      </w:r>
      <w:r w:rsidR="004A524F">
        <w:rPr>
          <w:rFonts w:cs="Times New Roman"/>
          <w:lang w:val="ru-RU"/>
        </w:rPr>
        <w:t xml:space="preserve"> образовательные учреждения с 11.03.20</w:t>
      </w:r>
      <w:r w:rsidR="0037778B">
        <w:rPr>
          <w:rFonts w:cs="Times New Roman"/>
          <w:lang w:val="ru-RU"/>
        </w:rPr>
        <w:t>, а также запрещены массовые собрания более 1000 человек</w:t>
      </w:r>
      <w:r w:rsidR="004A524F">
        <w:rPr>
          <w:rFonts w:cs="Times New Roman"/>
          <w:lang w:val="ru-RU"/>
        </w:rPr>
        <w:t xml:space="preserve">.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10.03.20 Правительство Испании заявило о прекращении авиасообщения с Италией до 25.03.20. </w:t>
      </w:r>
    </w:p>
    <w:p w:rsidR="0037778B" w:rsidRPr="004A524F" w:rsidRDefault="0037778B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37778B">
        <w:rPr>
          <w:rFonts w:cs="Times New Roman"/>
          <w:lang w:val="ru-RU"/>
        </w:rPr>
        <w:t>Власти также пообещали ежедневно дезинфицировать вагоны метро, автобусы и пригородные электрички.</w:t>
      </w:r>
      <w:r>
        <w:rPr>
          <w:rFonts w:cs="Times New Roman"/>
          <w:lang w:val="ru-RU"/>
        </w:rPr>
        <w:t xml:space="preserve"> Матчи футбольной лиги Испании проводятся без участия зрителей. </w:t>
      </w:r>
    </w:p>
    <w:p w:rsidR="00D915DD" w:rsidRDefault="00D915DD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center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Эпидемиологические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клинические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характеристики</w:t>
      </w:r>
      <w:proofErr w:type="spellEnd"/>
    </w:p>
    <w:p w:rsidR="0009369F" w:rsidRPr="004921D9" w:rsidRDefault="0009369F" w:rsidP="0009369F">
      <w:pPr>
        <w:shd w:val="clear" w:color="auto" w:fill="FFFFFF"/>
        <w:spacing w:line="276" w:lineRule="auto"/>
        <w:contextualSpacing/>
        <w:rPr>
          <w:rFonts w:cs="Times New Roman"/>
          <w:b/>
        </w:rPr>
      </w:pP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Возбудитель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</w:t>
      </w:r>
      <w:proofErr w:type="spellStart"/>
      <w:r w:rsidRPr="004921D9">
        <w:rPr>
          <w:rFonts w:cs="Times New Roman"/>
        </w:rPr>
        <w:t>название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присвоено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Международным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комитетом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таксономии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 xml:space="preserve"> 11.02.20).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Природный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резервуар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</w:rPr>
        <w:t>неизвестен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вероятно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дикие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животные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предполагаются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летучие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мыши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  <w:b/>
        </w:rPr>
        <w:t>Источник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инфекции</w:t>
      </w:r>
      <w:proofErr w:type="spellEnd"/>
      <w:r w:rsidRPr="004921D9">
        <w:rPr>
          <w:rFonts w:cs="Times New Roman"/>
          <w:b/>
        </w:rPr>
        <w:t xml:space="preserve"> - </w:t>
      </w:r>
      <w:proofErr w:type="spellStart"/>
      <w:r w:rsidRPr="004921D9">
        <w:rPr>
          <w:rFonts w:cs="Times New Roman"/>
        </w:rPr>
        <w:t>больной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человек</w:t>
      </w:r>
      <w:proofErr w:type="spellEnd"/>
      <w:r>
        <w:rPr>
          <w:rFonts w:cs="Times New Roman"/>
          <w:lang w:val="ru-RU"/>
        </w:rPr>
        <w:t>.</w:t>
      </w:r>
    </w:p>
    <w:p w:rsidR="0009369F" w:rsidRPr="00513EEE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  <w:b/>
        </w:rPr>
        <w:t>Механизмы</w:t>
      </w:r>
      <w:proofErr w:type="spellEnd"/>
      <w:r w:rsidRPr="004921D9">
        <w:rPr>
          <w:rFonts w:cs="Times New Roman"/>
          <w:b/>
        </w:rPr>
        <w:t xml:space="preserve">, </w:t>
      </w:r>
      <w:proofErr w:type="spellStart"/>
      <w:r w:rsidRPr="004921D9">
        <w:rPr>
          <w:rFonts w:cs="Times New Roman"/>
          <w:b/>
        </w:rPr>
        <w:t>пути</w:t>
      </w:r>
      <w:proofErr w:type="spellEnd"/>
      <w:r w:rsidRPr="004921D9">
        <w:rPr>
          <w:rFonts w:cs="Times New Roman"/>
          <w:b/>
        </w:rPr>
        <w:t xml:space="preserve"> и </w:t>
      </w:r>
      <w:proofErr w:type="spellStart"/>
      <w:r w:rsidRPr="004921D9">
        <w:rPr>
          <w:rFonts w:cs="Times New Roman"/>
          <w:b/>
        </w:rPr>
        <w:t>факторы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передачи</w:t>
      </w:r>
      <w:proofErr w:type="spellEnd"/>
      <w:r w:rsidRPr="004921D9">
        <w:rPr>
          <w:rFonts w:cs="Times New Roman"/>
          <w:b/>
        </w:rPr>
        <w:t xml:space="preserve"> – </w:t>
      </w:r>
      <w:proofErr w:type="spellStart"/>
      <w:r w:rsidRPr="004921D9">
        <w:rPr>
          <w:rFonts w:cs="Times New Roman"/>
        </w:rPr>
        <w:t>основной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аспирационный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или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>).</w:t>
      </w:r>
      <w:r>
        <w:rPr>
          <w:rFonts w:cs="Times New Roman"/>
          <w:lang w:val="ru-RU"/>
        </w:rPr>
        <w:t xml:space="preserve"> </w:t>
      </w:r>
      <w:proofErr w:type="spellStart"/>
      <w:r w:rsidRPr="004921D9">
        <w:rPr>
          <w:rFonts w:cs="Times New Roman"/>
        </w:rPr>
        <w:t>Реализуется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несколько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аэрогенный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(</w:t>
      </w:r>
      <w:proofErr w:type="spellStart"/>
      <w:r w:rsidRPr="004921D9">
        <w:rPr>
          <w:rFonts w:cs="Times New Roman"/>
        </w:rPr>
        <w:t>воздушно-капельный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воздушно-пылевой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); </w:t>
      </w:r>
      <w:proofErr w:type="spellStart"/>
      <w:r w:rsidRPr="004921D9">
        <w:rPr>
          <w:rFonts w:cs="Times New Roman"/>
        </w:rPr>
        <w:t>фекально-оральный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; </w:t>
      </w:r>
      <w:proofErr w:type="spellStart"/>
      <w:r w:rsidRPr="004921D9">
        <w:rPr>
          <w:rFonts w:cs="Times New Roman"/>
        </w:rPr>
        <w:t>контактный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механизм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Существует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потенциальный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риск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передачи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инфекции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типа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матери</w:t>
      </w:r>
      <w:proofErr w:type="spellEnd"/>
      <w:r w:rsidRPr="004921D9">
        <w:rPr>
          <w:rFonts w:cs="Times New Roman"/>
        </w:rPr>
        <w:t xml:space="preserve"> </w:t>
      </w:r>
      <w:r w:rsidRPr="00C34564">
        <w:rPr>
          <w:rFonts w:cs="Times New Roman"/>
        </w:rPr>
        <w:t xml:space="preserve">к </w:t>
      </w:r>
      <w:proofErr w:type="spellStart"/>
      <w:r w:rsidRPr="00C34564">
        <w:rPr>
          <w:rFonts w:cs="Times New Roman"/>
        </w:rPr>
        <w:t>ребенку</w:t>
      </w:r>
      <w:proofErr w:type="spellEnd"/>
      <w:r w:rsidRPr="00C34564">
        <w:rPr>
          <w:rFonts w:cs="Times New Roman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Вирус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способен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сохранять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жизнеспособность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поверхностях</w:t>
      </w:r>
      <w:proofErr w:type="spellEnd"/>
      <w:r w:rsidRPr="00C34564">
        <w:rPr>
          <w:rFonts w:cs="Times New Roman"/>
        </w:rPr>
        <w:t xml:space="preserve"> в </w:t>
      </w:r>
      <w:proofErr w:type="spellStart"/>
      <w:r w:rsidRPr="00C34564">
        <w:rPr>
          <w:rFonts w:cs="Times New Roman"/>
        </w:rPr>
        <w:t>течение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нескольких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часов</w:t>
      </w:r>
      <w:proofErr w:type="spellEnd"/>
      <w:r w:rsidRPr="00C34564">
        <w:rPr>
          <w:rFonts w:cs="Times New Roman"/>
        </w:rPr>
        <w:t xml:space="preserve">, а </w:t>
      </w:r>
      <w:proofErr w:type="spellStart"/>
      <w:r w:rsidRPr="00C34564">
        <w:rPr>
          <w:rFonts w:cs="Times New Roman"/>
        </w:rPr>
        <w:t>при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температуре</w:t>
      </w:r>
      <w:proofErr w:type="spellEnd"/>
      <w:r w:rsidRPr="00C34564">
        <w:rPr>
          <w:rFonts w:cs="Times New Roman"/>
        </w:rPr>
        <w:t xml:space="preserve"> 20</w:t>
      </w:r>
      <w:r w:rsidRPr="00C34564">
        <w:rPr>
          <w:rFonts w:cs="Times New Roman"/>
          <w:vertAlign w:val="superscript"/>
        </w:rPr>
        <w:t>0</w:t>
      </w:r>
      <w:r w:rsidRPr="00C34564">
        <w:rPr>
          <w:rFonts w:cs="Times New Roman"/>
        </w:rPr>
        <w:t xml:space="preserve">С и </w:t>
      </w:r>
      <w:proofErr w:type="spellStart"/>
      <w:r w:rsidRPr="00C34564">
        <w:rPr>
          <w:rFonts w:cs="Times New Roman"/>
        </w:rPr>
        <w:t>влажности</w:t>
      </w:r>
      <w:proofErr w:type="spellEnd"/>
      <w:r w:rsidRPr="00C34564">
        <w:rPr>
          <w:rFonts w:cs="Times New Roman"/>
        </w:rPr>
        <w:t xml:space="preserve"> 40-50% </w:t>
      </w:r>
      <w:proofErr w:type="spellStart"/>
      <w:r w:rsidRPr="00C34564">
        <w:rPr>
          <w:rFonts w:cs="Times New Roman"/>
        </w:rPr>
        <w:t>до</w:t>
      </w:r>
      <w:proofErr w:type="spellEnd"/>
      <w:r w:rsidRPr="00C34564">
        <w:rPr>
          <w:rFonts w:cs="Times New Roman"/>
        </w:rPr>
        <w:t xml:space="preserve"> 5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материалы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пресс-конференции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правительства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провинции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Хубей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от</w:t>
      </w:r>
      <w:proofErr w:type="spellEnd"/>
      <w:r w:rsidRPr="00C34564">
        <w:rPr>
          <w:rFonts w:cs="Times New Roman"/>
        </w:rPr>
        <w:t xml:space="preserve"> 03.02.20).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szCs w:val="28"/>
          <w:lang w:val="ru-RU"/>
        </w:rPr>
      </w:pPr>
      <w:proofErr w:type="spellStart"/>
      <w:r w:rsidRPr="00C34564">
        <w:rPr>
          <w:rFonts w:cs="Times New Roman"/>
        </w:rPr>
        <w:t>По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данным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>Государственной Комиссии здравоохранения КНР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более</w:t>
      </w:r>
      <w:proofErr w:type="spellEnd"/>
      <w:r w:rsidRPr="00C34564">
        <w:rPr>
          <w:rFonts w:cs="Times New Roman"/>
        </w:rPr>
        <w:t xml:space="preserve"> 83% </w:t>
      </w:r>
      <w:proofErr w:type="spellStart"/>
      <w:r w:rsidRPr="00C34564">
        <w:rPr>
          <w:rFonts w:cs="Times New Roman"/>
        </w:rPr>
        <w:t>массовых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заражений</w:t>
      </w:r>
      <w:proofErr w:type="spellEnd"/>
      <w:r w:rsidRPr="00C34564">
        <w:rPr>
          <w:rFonts w:cs="Times New Roman"/>
        </w:rPr>
        <w:t xml:space="preserve"> коронавирусом </w:t>
      </w:r>
      <w:proofErr w:type="spellStart"/>
      <w:r w:rsidRPr="00C34564">
        <w:rPr>
          <w:rFonts w:cs="Times New Roman"/>
        </w:rPr>
        <w:t>происходят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в результате тесных контактов без средств индивидуальной защиты </w:t>
      </w:r>
      <w:r w:rsidRPr="00C34564">
        <w:rPr>
          <w:rFonts w:cs="Times New Roman"/>
          <w:szCs w:val="28"/>
        </w:rPr>
        <w:t xml:space="preserve">– </w:t>
      </w:r>
      <w:r w:rsidRPr="00C34564">
        <w:rPr>
          <w:rFonts w:cs="Times New Roman"/>
          <w:szCs w:val="28"/>
          <w:lang w:val="ru-RU"/>
        </w:rPr>
        <w:t>среди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медицинск</w:t>
      </w:r>
      <w:proofErr w:type="spellEnd"/>
      <w:r w:rsidRPr="00C34564">
        <w:rPr>
          <w:rFonts w:cs="Times New Roman"/>
          <w:szCs w:val="28"/>
          <w:lang w:val="ru-RU"/>
        </w:rPr>
        <w:t>ого</w:t>
      </w:r>
      <w:r w:rsidRPr="00C34564">
        <w:rPr>
          <w:rFonts w:cs="Times New Roman"/>
          <w:szCs w:val="28"/>
        </w:rPr>
        <w:t xml:space="preserve"> </w:t>
      </w:r>
      <w:proofErr w:type="spellStart"/>
      <w:r w:rsidRPr="00C34564">
        <w:rPr>
          <w:rFonts w:cs="Times New Roman"/>
          <w:szCs w:val="28"/>
        </w:rPr>
        <w:t>персонал</w:t>
      </w:r>
      <w:proofErr w:type="spellEnd"/>
      <w:r w:rsidRPr="00C34564">
        <w:rPr>
          <w:rFonts w:cs="Times New Roman"/>
          <w:szCs w:val="28"/>
          <w:lang w:val="ru-RU"/>
        </w:rPr>
        <w:t>а, членов семьи больного</w:t>
      </w:r>
      <w:r w:rsidRPr="00C34564">
        <w:rPr>
          <w:rFonts w:cs="Times New Roman"/>
          <w:szCs w:val="28"/>
        </w:rPr>
        <w:t>.</w:t>
      </w:r>
    </w:p>
    <w:p w:rsidR="0009369F" w:rsidRPr="00C34564" w:rsidRDefault="0009369F" w:rsidP="0009369F">
      <w:pPr>
        <w:adjustRightInd w:val="0"/>
        <w:spacing w:line="276" w:lineRule="auto"/>
        <w:ind w:firstLine="708"/>
        <w:contextualSpacing/>
        <w:jc w:val="both"/>
        <w:rPr>
          <w:rFonts w:cs="Times New Roman"/>
          <w:highlight w:val="red"/>
          <w:lang w:val="ru-RU"/>
        </w:rPr>
      </w:pP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4921D9">
        <w:rPr>
          <w:rFonts w:cs="Times New Roman"/>
          <w:b/>
        </w:rPr>
        <w:t>Инкубационный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период</w:t>
      </w:r>
      <w:proofErr w:type="spellEnd"/>
      <w:r w:rsidRPr="004921D9">
        <w:rPr>
          <w:rFonts w:cs="Times New Roman"/>
          <w:b/>
        </w:rPr>
        <w:t xml:space="preserve"> </w:t>
      </w:r>
    </w:p>
    <w:p w:rsidR="0023782C" w:rsidRDefault="0023782C" w:rsidP="0009369F">
      <w:pPr>
        <w:spacing w:line="276" w:lineRule="auto"/>
        <w:ind w:firstLine="708"/>
        <w:jc w:val="both"/>
        <w:rPr>
          <w:rFonts w:cs="Times New Roman"/>
          <w:lang w:val="ru-RU"/>
        </w:rPr>
      </w:pPr>
    </w:p>
    <w:p w:rsidR="0009369F" w:rsidRDefault="0023782C" w:rsidP="0009369F">
      <w:pPr>
        <w:spacing w:line="276" w:lineRule="auto"/>
        <w:rPr>
          <w:rFonts w:cs="Times New Roman"/>
          <w:lang w:val="ru-RU"/>
        </w:rPr>
      </w:pPr>
      <w:proofErr w:type="spellStart"/>
      <w:r w:rsidRPr="0023782C">
        <w:rPr>
          <w:rFonts w:cs="Times New Roman"/>
        </w:rPr>
        <w:t>Менее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чем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будут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проявляться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симптомы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2,2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1,8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2,9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после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заражения</w:t>
      </w:r>
      <w:proofErr w:type="spellEnd"/>
      <w:r w:rsidRPr="0023782C">
        <w:rPr>
          <w:rFonts w:cs="Times New Roman"/>
        </w:rPr>
        <w:t xml:space="preserve">, а </w:t>
      </w:r>
      <w:proofErr w:type="spellStart"/>
      <w:r w:rsidRPr="0023782C">
        <w:rPr>
          <w:rFonts w:cs="Times New Roman"/>
        </w:rPr>
        <w:t>появление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симптомов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наступит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11,5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15,6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 у 97,5% </w:t>
      </w:r>
      <w:proofErr w:type="spellStart"/>
      <w:r w:rsidRPr="0023782C">
        <w:rPr>
          <w:rFonts w:cs="Times New Roman"/>
        </w:rPr>
        <w:t>инфицированных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Оценка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параметра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дисперсии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составила</w:t>
      </w:r>
      <w:proofErr w:type="spellEnd"/>
      <w:r w:rsidRPr="0023782C">
        <w:rPr>
          <w:rFonts w:cs="Times New Roman"/>
        </w:rPr>
        <w:t xml:space="preserve"> 1,52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1,32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1,72), а </w:t>
      </w:r>
      <w:proofErr w:type="spellStart"/>
      <w:r w:rsidRPr="0023782C">
        <w:rPr>
          <w:rFonts w:cs="Times New Roman"/>
        </w:rPr>
        <w:t>расчетный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инкубационный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составил</w:t>
      </w:r>
      <w:proofErr w:type="spellEnd"/>
      <w:r w:rsidRPr="0023782C">
        <w:rPr>
          <w:rFonts w:cs="Times New Roman"/>
        </w:rPr>
        <w:t xml:space="preserve"> 5,5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. </w:t>
      </w:r>
      <w:proofErr w:type="spellStart"/>
      <w:r w:rsidRPr="0023782C">
        <w:rPr>
          <w:rFonts w:cs="Times New Roman"/>
        </w:rPr>
        <w:t>Средний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период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появления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составляет</w:t>
      </w:r>
      <w:proofErr w:type="spellEnd"/>
      <w:r w:rsidRPr="0023782C">
        <w:rPr>
          <w:rFonts w:cs="Times New Roman"/>
        </w:rPr>
        <w:t xml:space="preserve"> 5,7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4,9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6,8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этом</w:t>
      </w:r>
      <w:proofErr w:type="spellEnd"/>
      <w:r w:rsidRPr="0023782C">
        <w:rPr>
          <w:rFonts w:cs="Times New Roman"/>
        </w:rPr>
        <w:t xml:space="preserve"> у 2,5% </w:t>
      </w:r>
      <w:proofErr w:type="spellStart"/>
      <w:r w:rsidRPr="0023782C">
        <w:rPr>
          <w:rFonts w:cs="Times New Roman"/>
        </w:rPr>
        <w:t>людей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наблюдается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лихорадка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2,6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 (</w:t>
      </w:r>
      <w:proofErr w:type="spellStart"/>
      <w:r w:rsidRPr="0023782C">
        <w:rPr>
          <w:rFonts w:cs="Times New Roman"/>
        </w:rPr>
        <w:t>при</w:t>
      </w:r>
      <w:proofErr w:type="spellEnd"/>
      <w:r w:rsidRPr="0023782C">
        <w:rPr>
          <w:rFonts w:cs="Times New Roman"/>
        </w:rPr>
        <w:t xml:space="preserve"> 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2,1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3,7 </w:t>
      </w:r>
      <w:proofErr w:type="spellStart"/>
      <w:r w:rsidRPr="0023782C">
        <w:rPr>
          <w:rFonts w:cs="Times New Roman"/>
        </w:rPr>
        <w:t>дня</w:t>
      </w:r>
      <w:proofErr w:type="spellEnd"/>
      <w:r w:rsidRPr="0023782C">
        <w:rPr>
          <w:rFonts w:cs="Times New Roman"/>
        </w:rPr>
        <w:t xml:space="preserve">), а у 97,5% </w:t>
      </w:r>
      <w:proofErr w:type="spellStart"/>
      <w:r w:rsidRPr="0023782C">
        <w:rPr>
          <w:rFonts w:cs="Times New Roman"/>
        </w:rPr>
        <w:t>температура</w:t>
      </w:r>
      <w:proofErr w:type="spellEnd"/>
      <w:r w:rsidRPr="0023782C">
        <w:rPr>
          <w:rFonts w:cs="Times New Roman"/>
        </w:rPr>
        <w:t xml:space="preserve"> </w:t>
      </w:r>
      <w:proofErr w:type="spellStart"/>
      <w:r w:rsidRPr="0023782C">
        <w:rPr>
          <w:rFonts w:cs="Times New Roman"/>
        </w:rPr>
        <w:t>поднимается</w:t>
      </w:r>
      <w:proofErr w:type="spellEnd"/>
      <w:r w:rsidRPr="0023782C">
        <w:rPr>
          <w:rFonts w:cs="Times New Roman"/>
        </w:rPr>
        <w:t xml:space="preserve"> в </w:t>
      </w:r>
      <w:proofErr w:type="spellStart"/>
      <w:r w:rsidRPr="0023782C">
        <w:rPr>
          <w:rFonts w:cs="Times New Roman"/>
        </w:rPr>
        <w:t>течение</w:t>
      </w:r>
      <w:proofErr w:type="spellEnd"/>
      <w:r w:rsidRPr="0023782C">
        <w:rPr>
          <w:rFonts w:cs="Times New Roman"/>
        </w:rPr>
        <w:t xml:space="preserve"> 12,5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 (ДИ </w:t>
      </w:r>
      <w:proofErr w:type="spellStart"/>
      <w:r w:rsidRPr="0023782C">
        <w:rPr>
          <w:rFonts w:cs="Times New Roman"/>
        </w:rPr>
        <w:t>От</w:t>
      </w:r>
      <w:proofErr w:type="spellEnd"/>
      <w:r w:rsidRPr="0023782C">
        <w:rPr>
          <w:rFonts w:cs="Times New Roman"/>
        </w:rPr>
        <w:t xml:space="preserve"> 8,2 </w:t>
      </w:r>
      <w:proofErr w:type="spellStart"/>
      <w:r w:rsidRPr="0023782C">
        <w:rPr>
          <w:rFonts w:cs="Times New Roman"/>
        </w:rPr>
        <w:t>до</w:t>
      </w:r>
      <w:proofErr w:type="spellEnd"/>
      <w:r w:rsidRPr="0023782C">
        <w:rPr>
          <w:rFonts w:cs="Times New Roman"/>
        </w:rPr>
        <w:t xml:space="preserve"> 17,7 </w:t>
      </w:r>
      <w:proofErr w:type="spellStart"/>
      <w:r w:rsidRPr="0023782C">
        <w:rPr>
          <w:rFonts w:cs="Times New Roman"/>
        </w:rPr>
        <w:t>дней</w:t>
      </w:r>
      <w:proofErr w:type="spellEnd"/>
      <w:r w:rsidRPr="0023782C">
        <w:rPr>
          <w:rFonts w:cs="Times New Roman"/>
        </w:rPr>
        <w:t xml:space="preserve">) </w:t>
      </w:r>
      <w:proofErr w:type="spellStart"/>
      <w:r w:rsidRPr="0023782C">
        <w:rPr>
          <w:rFonts w:cs="Times New Roman"/>
        </w:rPr>
        <w:t>воздействия</w:t>
      </w:r>
      <w:proofErr w:type="spellEnd"/>
      <w:r w:rsidRPr="0023782C">
        <w:rPr>
          <w:rFonts w:cs="Times New Roman"/>
        </w:rPr>
        <w:t>.</w:t>
      </w:r>
    </w:p>
    <w:p w:rsidR="0023782C" w:rsidRPr="0023782C" w:rsidRDefault="0023782C" w:rsidP="0009369F">
      <w:pPr>
        <w:spacing w:line="276" w:lineRule="auto"/>
        <w:rPr>
          <w:rFonts w:cs="Times New Roman"/>
          <w:lang w:val="ru-RU"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  <w:proofErr w:type="spellStart"/>
      <w:r w:rsidRPr="00C34564">
        <w:rPr>
          <w:rFonts w:cs="Times New Roman"/>
          <w:b/>
        </w:rPr>
        <w:t>Клиническая</w:t>
      </w:r>
      <w:proofErr w:type="spellEnd"/>
      <w:r w:rsidRPr="00C34564">
        <w:rPr>
          <w:rFonts w:cs="Times New Roman"/>
          <w:b/>
        </w:rPr>
        <w:t xml:space="preserve"> </w:t>
      </w:r>
      <w:proofErr w:type="spellStart"/>
      <w:r w:rsidRPr="00C34564">
        <w:rPr>
          <w:rFonts w:cs="Times New Roman"/>
          <w:b/>
        </w:rPr>
        <w:t>картина</w:t>
      </w:r>
      <w:proofErr w:type="spellEnd"/>
    </w:p>
    <w:p w:rsidR="0009369F" w:rsidRPr="00C34564" w:rsidRDefault="0009369F" w:rsidP="0009369F">
      <w:pPr>
        <w:ind w:firstLine="708"/>
        <w:jc w:val="both"/>
        <w:rPr>
          <w:rFonts w:cs="Times New Roman"/>
          <w:lang w:val="ru-RU"/>
        </w:rPr>
      </w:pPr>
      <w:r w:rsidRPr="00C34564">
        <w:rPr>
          <w:rFonts w:cs="Times New Roman"/>
          <w:lang w:val="ru-RU"/>
        </w:rPr>
        <w:t>Повышение температуры отмечается у 33-68 % больных, кашель: 41-52 %, отделение мокроты: 7-32 %, усталость: 5-42 %, боль в горле: 7-14 %, стеснение в груди: 3-16 %, диарея: 3-7 %, тошнота: 0-3 %, ринит: 0-3 %.</w:t>
      </w:r>
    </w:p>
    <w:p w:rsidR="0009369F" w:rsidRPr="00C34564" w:rsidRDefault="0009369F" w:rsidP="0009369F">
      <w:pPr>
        <w:pStyle w:val="a6"/>
        <w:spacing w:line="276" w:lineRule="auto"/>
        <w:ind w:left="0" w:firstLine="708"/>
        <w:jc w:val="both"/>
        <w:rPr>
          <w:rFonts w:cs="Times New Roman"/>
        </w:rPr>
      </w:pPr>
      <w:proofErr w:type="spellStart"/>
      <w:r w:rsidRPr="00C34564">
        <w:rPr>
          <w:rFonts w:cs="Times New Roman"/>
        </w:rPr>
        <w:t>Ведущими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симптомами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остаются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повышение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температуры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тела</w:t>
      </w:r>
      <w:proofErr w:type="spellEnd"/>
      <w:r w:rsidRPr="00C34564">
        <w:rPr>
          <w:rFonts w:cs="Times New Roman"/>
        </w:rPr>
        <w:t xml:space="preserve"> (</w:t>
      </w:r>
      <w:proofErr w:type="spellStart"/>
      <w:r w:rsidRPr="00C34564">
        <w:rPr>
          <w:rFonts w:cs="Times New Roman"/>
        </w:rPr>
        <w:t>чаще</w:t>
      </w:r>
      <w:proofErr w:type="spellEnd"/>
      <w:r w:rsidRPr="00C34564">
        <w:rPr>
          <w:rFonts w:cs="Times New Roman"/>
        </w:rPr>
        <w:t xml:space="preserve"> 38-39</w:t>
      </w:r>
      <w:r w:rsidRPr="00C34564">
        <w:rPr>
          <w:rFonts w:cs="Times New Roman"/>
          <w:lang w:val="ru-RU"/>
        </w:rPr>
        <w:t xml:space="preserve"> </w:t>
      </w:r>
      <w:r w:rsidRPr="00C34564">
        <w:rPr>
          <w:rFonts w:cs="Times New Roman"/>
        </w:rPr>
        <w:t>° С)</w:t>
      </w:r>
      <w:r w:rsidRPr="00C34564">
        <w:rPr>
          <w:rFonts w:cs="Times New Roman"/>
          <w:lang w:val="ru-RU"/>
        </w:rPr>
        <w:t xml:space="preserve"> и кашель.</w:t>
      </w:r>
    </w:p>
    <w:p w:rsidR="0009369F" w:rsidRPr="003244BA" w:rsidRDefault="0009369F" w:rsidP="0009369F">
      <w:pPr>
        <w:pStyle w:val="a6"/>
        <w:spacing w:line="276" w:lineRule="auto"/>
        <w:ind w:left="0" w:firstLine="708"/>
        <w:rPr>
          <w:rFonts w:cs="Times New Roman"/>
        </w:rPr>
      </w:pPr>
      <w:proofErr w:type="spellStart"/>
      <w:r w:rsidRPr="00C34564">
        <w:rPr>
          <w:rFonts w:cs="Times New Roman"/>
        </w:rPr>
        <w:t>Средний</w:t>
      </w:r>
      <w:proofErr w:type="spellEnd"/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срок</w:t>
      </w:r>
      <w:proofErr w:type="spellEnd"/>
      <w:r w:rsidRPr="00C34564">
        <w:rPr>
          <w:rFonts w:cs="Times New Roman"/>
        </w:rPr>
        <w:t xml:space="preserve"> </w:t>
      </w:r>
      <w:r w:rsidRPr="00C34564">
        <w:rPr>
          <w:rFonts w:cs="Times New Roman"/>
          <w:lang w:val="ru-RU"/>
        </w:rPr>
        <w:t xml:space="preserve">от начала симптомов до </w:t>
      </w:r>
      <w:proofErr w:type="spellStart"/>
      <w:r w:rsidRPr="00C34564">
        <w:rPr>
          <w:rFonts w:cs="Times New Roman"/>
        </w:rPr>
        <w:t>госпитализации</w:t>
      </w:r>
      <w:proofErr w:type="spellEnd"/>
      <w:r w:rsidRPr="00C34564">
        <w:rPr>
          <w:rFonts w:cs="Times New Roman"/>
        </w:rPr>
        <w:t xml:space="preserve"> –</w:t>
      </w:r>
      <w:r w:rsidRPr="00C34564">
        <w:rPr>
          <w:rFonts w:cs="Times New Roman"/>
          <w:lang w:val="ru-RU"/>
        </w:rPr>
        <w:t xml:space="preserve"> от 12</w:t>
      </w:r>
      <w:r w:rsidRPr="00C34564">
        <w:rPr>
          <w:rFonts w:cs="Times New Roman"/>
        </w:rPr>
        <w:t xml:space="preserve"> </w:t>
      </w:r>
      <w:proofErr w:type="spellStart"/>
      <w:r w:rsidRPr="00C34564">
        <w:rPr>
          <w:rFonts w:cs="Times New Roman"/>
        </w:rPr>
        <w:t>дней</w:t>
      </w:r>
      <w:proofErr w:type="spellEnd"/>
      <w:r w:rsidRPr="00C34564">
        <w:rPr>
          <w:rFonts w:cs="Times New Roman"/>
          <w:lang w:val="ru-RU"/>
        </w:rPr>
        <w:t xml:space="preserve"> (в начале</w:t>
      </w:r>
      <w:r>
        <w:rPr>
          <w:rFonts w:cs="Times New Roman"/>
          <w:lang w:val="ru-RU"/>
        </w:rPr>
        <w:t xml:space="preserve"> января 2020 г.) до 3 дней (в </w:t>
      </w:r>
      <w:proofErr w:type="spellStart"/>
      <w:r>
        <w:rPr>
          <w:rFonts w:cs="Times New Roman"/>
          <w:lang w:val="ru-RU"/>
        </w:rPr>
        <w:t>началае</w:t>
      </w:r>
      <w:proofErr w:type="spellEnd"/>
      <w:r>
        <w:rPr>
          <w:rFonts w:cs="Times New Roman"/>
          <w:lang w:val="ru-RU"/>
        </w:rPr>
        <w:t xml:space="preserve"> февраля 2020 г.), </w:t>
      </w:r>
      <w:proofErr w:type="spellStart"/>
      <w:r w:rsidRPr="00A275A2">
        <w:rPr>
          <w:rFonts w:cs="Times New Roman"/>
        </w:rPr>
        <w:t>по</w:t>
      </w:r>
      <w:proofErr w:type="spellEnd"/>
      <w:r w:rsidRPr="00A275A2">
        <w:rPr>
          <w:rFonts w:cs="Times New Roman"/>
        </w:rPr>
        <w:t xml:space="preserve"> </w:t>
      </w:r>
      <w:proofErr w:type="spellStart"/>
      <w:r w:rsidRPr="00A275A2">
        <w:rPr>
          <w:rFonts w:cs="Times New Roman"/>
        </w:rPr>
        <w:t>данным</w:t>
      </w:r>
      <w:proofErr w:type="spellEnd"/>
      <w:r w:rsidRPr="00A275A2">
        <w:rPr>
          <w:rFonts w:cs="Times New Roman"/>
        </w:rPr>
        <w:t xml:space="preserve"> ВОЗ.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09369F" w:rsidRPr="005E5593" w:rsidRDefault="0009369F" w:rsidP="0009369F">
      <w:pPr>
        <w:pStyle w:val="a6"/>
        <w:spacing w:line="276" w:lineRule="auto"/>
        <w:ind w:left="0" w:firstLine="708"/>
        <w:rPr>
          <w:rFonts w:cs="Times New Roman"/>
          <w:highlight w:val="red"/>
        </w:rPr>
      </w:pPr>
      <w:proofErr w:type="spellStart"/>
      <w:r w:rsidRPr="003244BA">
        <w:rPr>
          <w:rFonts w:cs="Times New Roman"/>
        </w:rPr>
        <w:t>Летальные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случаи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ассоциированы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возрастом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пациентов</w:t>
      </w:r>
      <w:proofErr w:type="spellEnd"/>
      <w:r w:rsidRPr="003244BA">
        <w:rPr>
          <w:rFonts w:cs="Times New Roman"/>
        </w:rPr>
        <w:t xml:space="preserve">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 xml:space="preserve">60 </w:t>
      </w:r>
      <w:proofErr w:type="spellStart"/>
      <w:r w:rsidRPr="003244BA">
        <w:rPr>
          <w:rFonts w:cs="Times New Roman"/>
        </w:rPr>
        <w:t>лет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как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правило</w:t>
      </w:r>
      <w:proofErr w:type="spellEnd"/>
      <w:r w:rsidRPr="003244BA">
        <w:rPr>
          <w:rFonts w:cs="Times New Roman"/>
        </w:rPr>
        <w:t xml:space="preserve">, </w:t>
      </w:r>
      <w:proofErr w:type="spellStart"/>
      <w:r w:rsidRPr="003244BA">
        <w:rPr>
          <w:rFonts w:cs="Times New Roman"/>
        </w:rPr>
        <w:t>при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тяжелой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сопутствующей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патологии</w:t>
      </w:r>
      <w:proofErr w:type="spellEnd"/>
      <w:r w:rsidRPr="003244BA">
        <w:rPr>
          <w:rFonts w:cs="Times New Roman"/>
        </w:rPr>
        <w:t>.</w:t>
      </w:r>
      <w:r w:rsidRPr="003244BA">
        <w:rPr>
          <w:rFonts w:cs="Times New Roman"/>
          <w:lang w:val="ru-RU"/>
        </w:rPr>
        <w:t xml:space="preserve"> </w:t>
      </w:r>
      <w:proofErr w:type="spellStart"/>
      <w:r w:rsidRPr="003244BA">
        <w:rPr>
          <w:rFonts w:cs="Times New Roman"/>
        </w:rPr>
        <w:t>Доля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больных</w:t>
      </w:r>
      <w:proofErr w:type="spellEnd"/>
      <w:r w:rsidRPr="003244BA">
        <w:rPr>
          <w:rFonts w:cs="Times New Roman"/>
        </w:rPr>
        <w:t xml:space="preserve"> с </w:t>
      </w:r>
      <w:proofErr w:type="spellStart"/>
      <w:r w:rsidRPr="003244BA">
        <w:rPr>
          <w:rFonts w:cs="Times New Roman"/>
        </w:rPr>
        <w:t>тяжелым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клиническим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течением</w:t>
      </w:r>
      <w:proofErr w:type="spellEnd"/>
      <w:r w:rsidRPr="003244BA">
        <w:rPr>
          <w:rFonts w:cs="Times New Roman"/>
        </w:rPr>
        <w:t xml:space="preserve"> </w:t>
      </w:r>
      <w:proofErr w:type="spellStart"/>
      <w:r w:rsidRPr="003244BA">
        <w:rPr>
          <w:rFonts w:cs="Times New Roman"/>
        </w:rPr>
        <w:t>составляет</w:t>
      </w:r>
      <w:proofErr w:type="spellEnd"/>
      <w:r w:rsidRPr="003244BA">
        <w:rPr>
          <w:rFonts w:cs="Times New Roman"/>
        </w:rPr>
        <w:t xml:space="preserve">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 детей заболевание протекает в более лёгкой форме.</w:t>
      </w:r>
    </w:p>
    <w:p w:rsidR="0009369F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831787">
        <w:rPr>
          <w:rFonts w:cs="Times New Roman"/>
          <w:lang w:val="ru-RU"/>
        </w:rPr>
        <w:t xml:space="preserve">В КНР зафиксированы случаи, когда у выписанных пациентов с отрицательными результатами теста на </w:t>
      </w:r>
      <w:proofErr w:type="spellStart"/>
      <w:r w:rsidRPr="00831787">
        <w:rPr>
          <w:rFonts w:cs="Times New Roman"/>
          <w:lang w:val="ru-RU"/>
        </w:rPr>
        <w:t>коронавирус</w:t>
      </w:r>
      <w:proofErr w:type="spellEnd"/>
      <w:r w:rsidRPr="00831787">
        <w:rPr>
          <w:rFonts w:cs="Times New Roman"/>
          <w:lang w:val="ru-RU"/>
        </w:rPr>
        <w:t>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</w:t>
      </w:r>
      <w:r>
        <w:rPr>
          <w:rFonts w:cs="Times New Roman"/>
          <w:lang w:val="ru-RU"/>
        </w:rPr>
        <w:t>иве заболевания или реинфекции.</w:t>
      </w:r>
    </w:p>
    <w:p w:rsidR="0009369F" w:rsidRPr="00831787" w:rsidRDefault="0009369F" w:rsidP="0009369F">
      <w:pPr>
        <w:pStyle w:val="a6"/>
        <w:shd w:val="clear" w:color="auto" w:fill="FFFFFF"/>
        <w:spacing w:line="276" w:lineRule="auto"/>
        <w:ind w:left="0" w:firstLine="708"/>
        <w:jc w:val="both"/>
        <w:rPr>
          <w:rFonts w:cs="Times New Roman"/>
          <w:b/>
        </w:rPr>
      </w:pPr>
    </w:p>
    <w:p w:rsidR="0009369F" w:rsidRPr="00C34564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lang w:val="ru-RU"/>
        </w:rPr>
      </w:pPr>
      <w:proofErr w:type="spellStart"/>
      <w:r w:rsidRPr="004921D9">
        <w:rPr>
          <w:rFonts w:cs="Times New Roman"/>
          <w:b/>
        </w:rPr>
        <w:t>Лабораторная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диагностика</w:t>
      </w:r>
      <w:proofErr w:type="spellEnd"/>
    </w:p>
    <w:p w:rsidR="0009369F" w:rsidRPr="007759BE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</w:t>
      </w:r>
      <w:proofErr w:type="spellStart"/>
      <w:r w:rsidRPr="00831787">
        <w:rPr>
          <w:rFonts w:cs="Times New Roman"/>
        </w:rPr>
        <w:t>настоящее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время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имеется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информация</w:t>
      </w:r>
      <w:proofErr w:type="spellEnd"/>
      <w:r w:rsidRPr="00831787">
        <w:rPr>
          <w:rFonts w:cs="Times New Roman"/>
        </w:rPr>
        <w:t xml:space="preserve"> о </w:t>
      </w:r>
      <w:r>
        <w:rPr>
          <w:rFonts w:cs="Times New Roman"/>
          <w:lang w:val="ru-RU"/>
        </w:rPr>
        <w:t xml:space="preserve">разработке </w:t>
      </w:r>
      <w:proofErr w:type="spellStart"/>
      <w:r w:rsidRPr="00831787">
        <w:rPr>
          <w:rFonts w:cs="Times New Roman"/>
        </w:rPr>
        <w:t>тест-систем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для</w:t>
      </w:r>
      <w:proofErr w:type="spellEnd"/>
      <w:r w:rsidRPr="00831787">
        <w:rPr>
          <w:rFonts w:cs="Times New Roman"/>
        </w:rPr>
        <w:t xml:space="preserve"> </w:t>
      </w:r>
      <w:proofErr w:type="spellStart"/>
      <w:r w:rsidRPr="00831787">
        <w:rPr>
          <w:rFonts w:cs="Times New Roman"/>
        </w:rPr>
        <w:t>выявления</w:t>
      </w:r>
      <w:proofErr w:type="spellEnd"/>
      <w:r w:rsidRPr="00831787">
        <w:rPr>
          <w:rFonts w:cs="Times New Roman"/>
        </w:rPr>
        <w:t xml:space="preserve"> РНК </w:t>
      </w:r>
      <w:proofErr w:type="spellStart"/>
      <w:r w:rsidRPr="00831787">
        <w:rPr>
          <w:rFonts w:cs="Times New Roman"/>
        </w:rPr>
        <w:t>вируса</w:t>
      </w:r>
      <w:proofErr w:type="spellEnd"/>
      <w:r w:rsidRPr="00831787">
        <w:rPr>
          <w:rFonts w:cs="Times New Roman"/>
        </w:rPr>
        <w:t xml:space="preserve"> 2019-nCoV </w:t>
      </w:r>
      <w:proofErr w:type="spellStart"/>
      <w:r w:rsidRPr="00831787">
        <w:rPr>
          <w:rFonts w:cs="Times New Roman"/>
        </w:rPr>
        <w:t>методом</w:t>
      </w:r>
      <w:proofErr w:type="spellEnd"/>
      <w:r w:rsidRPr="00831787">
        <w:rPr>
          <w:rFonts w:cs="Times New Roman"/>
        </w:rPr>
        <w:t xml:space="preserve"> ПЦР</w:t>
      </w:r>
      <w:r>
        <w:rPr>
          <w:rFonts w:cs="Times New Roman"/>
          <w:lang w:val="ru-RU"/>
        </w:rPr>
        <w:t xml:space="preserve"> в следующих организациях: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Pr="00831787">
        <w:rPr>
          <w:rFonts w:cs="Times New Roman"/>
        </w:rPr>
        <w:t>ГНЦ ВБ «</w:t>
      </w:r>
      <w:proofErr w:type="spellStart"/>
      <w:r w:rsidRPr="00831787">
        <w:rPr>
          <w:rFonts w:cs="Times New Roman"/>
        </w:rPr>
        <w:t>Вектор</w:t>
      </w:r>
      <w:proofErr w:type="spellEnd"/>
      <w:r>
        <w:rPr>
          <w:rFonts w:cs="Times New Roman"/>
          <w:lang w:val="ru-RU"/>
        </w:rPr>
        <w:t>» Роспотребнадзора (Россия)</w:t>
      </w:r>
    </w:p>
    <w:p w:rsidR="0009369F" w:rsidRPr="00831787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>
        <w:rPr>
          <w:rFonts w:cs="Times New Roman"/>
        </w:rPr>
        <w:t>CDC КНР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>
        <w:rPr>
          <w:rFonts w:cs="Times New Roman"/>
        </w:rPr>
        <w:t>CDC США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Pr="007759BE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Гонконга</w:t>
      </w:r>
      <w:proofErr w:type="spellEnd"/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>
        <w:rPr>
          <w:rFonts w:cs="Times New Roman"/>
        </w:rPr>
        <w:t xml:space="preserve">«Altona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7) </w:t>
      </w:r>
      <w:proofErr w:type="spellStart"/>
      <w:r w:rsidRPr="00831787">
        <w:rPr>
          <w:rFonts w:cs="Times New Roman"/>
        </w:rPr>
        <w:t>Гонконгский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Университет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науки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технологий</w:t>
      </w:r>
      <w:proofErr w:type="spellEnd"/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</w:t>
      </w:r>
      <w:proofErr w:type="spellStart"/>
      <w:r w:rsidRPr="00831787">
        <w:rPr>
          <w:rFonts w:cs="Times New Roman"/>
        </w:rPr>
        <w:t>Novacyt</w:t>
      </w:r>
      <w:proofErr w:type="spellEnd"/>
      <w:r w:rsidRPr="00831787">
        <w:rPr>
          <w:rFonts w:cs="Times New Roman"/>
        </w:rPr>
        <w:t>/</w:t>
      </w:r>
      <w:proofErr w:type="spellStart"/>
      <w:r w:rsidRPr="00831787">
        <w:rPr>
          <w:rFonts w:cs="Times New Roman"/>
        </w:rPr>
        <w:t>Primerdesign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Великоб</w:t>
      </w:r>
      <w:r>
        <w:rPr>
          <w:rFonts w:cs="Times New Roman"/>
        </w:rPr>
        <w:t>ритания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Франция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proofErr w:type="spellStart"/>
      <w:r>
        <w:rPr>
          <w:rFonts w:cs="Times New Roman"/>
        </w:rPr>
        <w:t>Thermo</w:t>
      </w:r>
      <w:proofErr w:type="spellEnd"/>
      <w:r>
        <w:rPr>
          <w:rFonts w:cs="Times New Roman"/>
        </w:rPr>
        <w:t xml:space="preserve"> Fisher Scientific»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</w:t>
      </w:r>
      <w:proofErr w:type="spellStart"/>
      <w:r>
        <w:rPr>
          <w:rFonts w:cs="Times New Roman"/>
        </w:rPr>
        <w:t>Qiagen</w:t>
      </w:r>
      <w:proofErr w:type="spellEnd"/>
      <w:r>
        <w:rPr>
          <w:rFonts w:cs="Times New Roman"/>
        </w:rPr>
        <w:t>» (</w:t>
      </w:r>
      <w:proofErr w:type="spellStart"/>
      <w:r>
        <w:rPr>
          <w:rFonts w:cs="Times New Roman"/>
        </w:rPr>
        <w:t>Германия</w:t>
      </w:r>
      <w:proofErr w:type="spellEnd"/>
      <w:r>
        <w:rPr>
          <w:rFonts w:cs="Times New Roman"/>
        </w:rPr>
        <w:t>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</w:t>
      </w:r>
      <w:proofErr w:type="spellStart"/>
      <w:r>
        <w:rPr>
          <w:rFonts w:cs="Times New Roman"/>
        </w:rPr>
        <w:t>Biomeme</w:t>
      </w:r>
      <w:proofErr w:type="spellEnd"/>
      <w:r>
        <w:rPr>
          <w:rFonts w:cs="Times New Roman"/>
        </w:rPr>
        <w:t>» (США)</w:t>
      </w:r>
    </w:p>
    <w:p w:rsidR="0009369F" w:rsidRPr="00C16001" w:rsidRDefault="0009369F" w:rsidP="0009369F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12) «TIB </w:t>
      </w:r>
      <w:proofErr w:type="spellStart"/>
      <w:r w:rsidRPr="00831787">
        <w:rPr>
          <w:rFonts w:cs="Times New Roman"/>
        </w:rPr>
        <w:t>Molbiol</w:t>
      </w:r>
      <w:proofErr w:type="spellEnd"/>
      <w:r w:rsidRPr="00831787">
        <w:rPr>
          <w:rFonts w:cs="Times New Roman"/>
        </w:rPr>
        <w:t>» (</w:t>
      </w:r>
      <w:proofErr w:type="spellStart"/>
      <w:r w:rsidRPr="00831787">
        <w:rPr>
          <w:rFonts w:cs="Times New Roman"/>
        </w:rPr>
        <w:t>Германия</w:t>
      </w:r>
      <w:proofErr w:type="spellEnd"/>
      <w:r w:rsidRPr="00831787">
        <w:rPr>
          <w:rFonts w:cs="Times New Roman"/>
        </w:rPr>
        <w:t>)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</w:t>
      </w:r>
      <w:proofErr w:type="spellStart"/>
      <w:r>
        <w:rPr>
          <w:rFonts w:cs="Times New Roman"/>
        </w:rPr>
        <w:t>Amoy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Diagnostics</w:t>
      </w:r>
      <w:proofErr w:type="spellEnd"/>
      <w:r>
        <w:rPr>
          <w:rFonts w:cs="Times New Roman"/>
        </w:rPr>
        <w:t>» (КНР)</w:t>
      </w:r>
      <w:r w:rsidRPr="00831787">
        <w:rPr>
          <w:rFonts w:cs="Times New Roman"/>
        </w:rPr>
        <w:t>.</w:t>
      </w:r>
    </w:p>
    <w:p w:rsidR="0009369F" w:rsidRPr="007759BE" w:rsidRDefault="0009369F" w:rsidP="0009369F">
      <w:pPr>
        <w:spacing w:line="276" w:lineRule="auto"/>
        <w:contextualSpacing/>
        <w:jc w:val="both"/>
        <w:rPr>
          <w:rFonts w:cs="Times New Roman"/>
        </w:rPr>
      </w:pPr>
    </w:p>
    <w:p w:rsidR="0009369F" w:rsidRPr="004921D9" w:rsidRDefault="0009369F" w:rsidP="0009369F">
      <w:pPr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Согласно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сообщению</w:t>
      </w:r>
      <w:proofErr w:type="spellEnd"/>
      <w:r w:rsidRPr="004921D9">
        <w:rPr>
          <w:rFonts w:cs="Times New Roman"/>
        </w:rPr>
        <w:t xml:space="preserve"> ИА </w:t>
      </w:r>
      <w:proofErr w:type="spellStart"/>
      <w:r w:rsidRPr="004921D9">
        <w:rPr>
          <w:rFonts w:cs="Times New Roman"/>
          <w:lang w:val="en-US"/>
        </w:rPr>
        <w:t>Sina</w:t>
      </w:r>
      <w:proofErr w:type="spellEnd"/>
      <w:r w:rsidRPr="004921D9">
        <w:rPr>
          <w:rFonts w:cs="Times New Roman"/>
        </w:rPr>
        <w:t xml:space="preserve"> (КНР)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08.02.20</w:t>
      </w:r>
      <w:r>
        <w:rPr>
          <w:rFonts w:cs="Times New Roman"/>
          <w:lang w:val="ru-RU"/>
        </w:rPr>
        <w:t xml:space="preserve"> г.,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китайские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врачи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отмечают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возможность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высокого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ложноотрицательных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результатов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новый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коронавирус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По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оценке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академика</w:t>
      </w:r>
      <w:proofErr w:type="spellEnd"/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положительный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результат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лабораторном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регистрируется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только</w:t>
      </w:r>
      <w:proofErr w:type="spellEnd"/>
      <w:r w:rsidRPr="004921D9">
        <w:rPr>
          <w:rFonts w:cs="Times New Roman"/>
        </w:rPr>
        <w:t xml:space="preserve"> у 30-50% </w:t>
      </w:r>
      <w:proofErr w:type="spellStart"/>
      <w:r w:rsidRPr="004921D9">
        <w:rPr>
          <w:rFonts w:cs="Times New Roman"/>
        </w:rPr>
        <w:t>от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истинного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числа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заболевших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Это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обусловлено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тем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вероятность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обнаружения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выше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смывов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нижних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дыхательных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путей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меньше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мокроты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ниже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всего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исследовании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мазков</w:t>
      </w:r>
      <w:proofErr w:type="spellEnd"/>
      <w:r w:rsidRPr="004921D9">
        <w:rPr>
          <w:rFonts w:cs="Times New Roman"/>
        </w:rPr>
        <w:t xml:space="preserve"> с </w:t>
      </w:r>
      <w:proofErr w:type="spellStart"/>
      <w:r w:rsidRPr="004921D9">
        <w:rPr>
          <w:rFonts w:cs="Times New Roman"/>
        </w:rPr>
        <w:t>глотки</w:t>
      </w:r>
      <w:proofErr w:type="spellEnd"/>
      <w:r w:rsidRPr="004921D9">
        <w:rPr>
          <w:rFonts w:cs="Times New Roman"/>
        </w:rPr>
        <w:t xml:space="preserve">. </w:t>
      </w:r>
      <w:proofErr w:type="spellStart"/>
      <w:r w:rsidRPr="004921D9">
        <w:rPr>
          <w:rFonts w:cs="Times New Roman"/>
        </w:rPr>
        <w:t>Также</w:t>
      </w:r>
      <w:proofErr w:type="spellEnd"/>
      <w:r w:rsidRPr="004921D9">
        <w:rPr>
          <w:rFonts w:cs="Times New Roman"/>
        </w:rPr>
        <w:t xml:space="preserve"> в </w:t>
      </w:r>
      <w:proofErr w:type="spellStart"/>
      <w:r w:rsidRPr="004921D9">
        <w:rPr>
          <w:rFonts w:cs="Times New Roman"/>
        </w:rPr>
        <w:t>настоящее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время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из-за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повышенного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спроса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установлен</w:t>
      </w:r>
      <w:proofErr w:type="spellEnd"/>
      <w:r w:rsidRPr="004921D9">
        <w:rPr>
          <w:rFonts w:cs="Times New Roman"/>
        </w:rPr>
        <w:t xml:space="preserve"> «</w:t>
      </w:r>
      <w:proofErr w:type="spellStart"/>
      <w:r w:rsidRPr="004921D9">
        <w:rPr>
          <w:rFonts w:cs="Times New Roman"/>
        </w:rPr>
        <w:t>особый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порядок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подтверждения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качества</w:t>
      </w:r>
      <w:proofErr w:type="spellEnd"/>
      <w:r w:rsidRPr="004921D9">
        <w:rPr>
          <w:rFonts w:cs="Times New Roman"/>
        </w:rPr>
        <w:t xml:space="preserve">» </w:t>
      </w:r>
      <w:proofErr w:type="spellStart"/>
      <w:r w:rsidRPr="004921D9">
        <w:rPr>
          <w:rFonts w:cs="Times New Roman"/>
        </w:rPr>
        <w:t>для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диагностических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наборов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что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сказывается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на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чувствительности</w:t>
      </w:r>
      <w:proofErr w:type="spellEnd"/>
      <w:r w:rsidRPr="004921D9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</w:rPr>
      </w:pPr>
    </w:p>
    <w:p w:rsidR="0009369F" w:rsidRPr="003C111B" w:rsidRDefault="0009369F" w:rsidP="0009369F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Лечение</w:t>
      </w:r>
      <w:proofErr w:type="spellEnd"/>
      <w:r>
        <w:rPr>
          <w:rFonts w:cs="Times New Roman"/>
          <w:b/>
          <w:lang w:val="ru-RU"/>
        </w:rPr>
        <w:t xml:space="preserve">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Этиотропная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– </w:t>
      </w:r>
      <w:proofErr w:type="spellStart"/>
      <w:r w:rsidRPr="004921D9">
        <w:rPr>
          <w:rFonts w:cs="Times New Roman"/>
        </w:rPr>
        <w:t>отсутствует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используются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симптоматическая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терапия</w:t>
      </w:r>
      <w:proofErr w:type="spellEnd"/>
      <w:r w:rsidRPr="004921D9">
        <w:rPr>
          <w:rFonts w:cs="Times New Roman"/>
        </w:rPr>
        <w:t xml:space="preserve"> и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против</w:t>
      </w:r>
      <w:proofErr w:type="spellEnd"/>
      <w:r w:rsidRPr="004921D9">
        <w:rPr>
          <w:rFonts w:cs="Times New Roman"/>
        </w:rPr>
        <w:t xml:space="preserve"> РНК-</w:t>
      </w:r>
      <w:proofErr w:type="spellStart"/>
      <w:r w:rsidRPr="004921D9">
        <w:rPr>
          <w:rFonts w:cs="Times New Roman"/>
        </w:rPr>
        <w:t>содержащих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вирусов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130798">
        <w:rPr>
          <w:rFonts w:cs="Times New Roman"/>
        </w:rPr>
        <w:t>Изучаются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возможности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применения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противовирусных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средств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широкого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действия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среди</w:t>
      </w:r>
      <w:proofErr w:type="spellEnd"/>
      <w:r w:rsidRPr="00130798">
        <w:rPr>
          <w:rFonts w:cs="Times New Roman"/>
        </w:rPr>
        <w:t xml:space="preserve"> </w:t>
      </w:r>
      <w:proofErr w:type="spellStart"/>
      <w:r w:rsidRPr="00130798">
        <w:rPr>
          <w:rFonts w:cs="Times New Roman"/>
        </w:rPr>
        <w:t>которы</w:t>
      </w:r>
      <w:r>
        <w:rPr>
          <w:rFonts w:cs="Times New Roman"/>
        </w:rPr>
        <w:t>х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емдесивир</w:t>
      </w:r>
      <w:proofErr w:type="spellEnd"/>
      <w:r w:rsidRPr="00130798">
        <w:rPr>
          <w:rFonts w:cs="Times New Roman"/>
        </w:rPr>
        <w:t xml:space="preserve">, </w:t>
      </w:r>
      <w:proofErr w:type="spellStart"/>
      <w:r w:rsidRPr="00130798">
        <w:rPr>
          <w:rFonts w:cs="Times New Roman"/>
        </w:rPr>
        <w:t>ингибиторы</w:t>
      </w:r>
      <w:proofErr w:type="spellEnd"/>
      <w:r w:rsidRPr="00130798">
        <w:rPr>
          <w:rFonts w:cs="Times New Roman"/>
        </w:rPr>
        <w:t xml:space="preserve"> РНК-</w:t>
      </w:r>
      <w:proofErr w:type="spellStart"/>
      <w:r w:rsidRPr="00130798">
        <w:rPr>
          <w:rFonts w:cs="Times New Roman"/>
        </w:rPr>
        <w:t>полимеразы</w:t>
      </w:r>
      <w:proofErr w:type="spellEnd"/>
      <w:r w:rsidRPr="00130798">
        <w:rPr>
          <w:rFonts w:cs="Times New Roman"/>
        </w:rPr>
        <w:t xml:space="preserve">, </w:t>
      </w:r>
      <w:r>
        <w:rPr>
          <w:rFonts w:cs="Times New Roman"/>
          <w:lang w:val="ru-RU"/>
        </w:rPr>
        <w:t>Л</w:t>
      </w:r>
      <w:proofErr w:type="spellStart"/>
      <w:r w:rsidRPr="00130798">
        <w:rPr>
          <w:rFonts w:cs="Times New Roman"/>
        </w:rPr>
        <w:t>опинавир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Р</w:t>
      </w:r>
      <w:proofErr w:type="spellStart"/>
      <w:r w:rsidRPr="00130798">
        <w:rPr>
          <w:rFonts w:cs="Times New Roman"/>
        </w:rPr>
        <w:t>итонавир</w:t>
      </w:r>
      <w:proofErr w:type="spellEnd"/>
      <w:r w:rsidRPr="00130798">
        <w:rPr>
          <w:rFonts w:cs="Times New Roman"/>
        </w:rPr>
        <w:t xml:space="preserve"> и </w:t>
      </w:r>
      <w:r>
        <w:rPr>
          <w:rFonts w:cs="Times New Roman"/>
          <w:lang w:val="ru-RU"/>
        </w:rPr>
        <w:t>И</w:t>
      </w:r>
      <w:proofErr w:type="spellStart"/>
      <w:r w:rsidRPr="00130798">
        <w:rPr>
          <w:rFonts w:cs="Times New Roman"/>
        </w:rPr>
        <w:t>нтерферон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130798">
        <w:rPr>
          <w:rFonts w:cs="Times New Roman"/>
        </w:rPr>
        <w:t>бета</w:t>
      </w:r>
      <w:proofErr w:type="spellEnd"/>
      <w:r w:rsidRPr="00130798">
        <w:rPr>
          <w:rFonts w:cs="Times New Roman"/>
        </w:rPr>
        <w:t xml:space="preserve">. </w:t>
      </w:r>
    </w:p>
    <w:p w:rsidR="0009369F" w:rsidRPr="004921D9" w:rsidRDefault="0009369F" w:rsidP="0009369F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4921D9">
        <w:rPr>
          <w:rFonts w:cs="Times New Roman"/>
        </w:rPr>
        <w:t>Министерство</w:t>
      </w:r>
      <w:proofErr w:type="spellEnd"/>
      <w:r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</w:t>
      </w:r>
      <w:proofErr w:type="spellStart"/>
      <w:r w:rsidRPr="004921D9">
        <w:rPr>
          <w:rFonts w:cs="Times New Roman"/>
        </w:rPr>
        <w:t>качестве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этиотропной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терапии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рекомендовало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использовать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препараты</w:t>
      </w:r>
      <w:proofErr w:type="spellEnd"/>
      <w:r w:rsidRPr="004921D9">
        <w:rPr>
          <w:rFonts w:cs="Times New Roman"/>
        </w:rPr>
        <w:t xml:space="preserve">: </w:t>
      </w:r>
      <w:proofErr w:type="spellStart"/>
      <w:r w:rsidRPr="004921D9">
        <w:rPr>
          <w:rFonts w:cs="Times New Roman"/>
        </w:rPr>
        <w:t>рибавирин</w:t>
      </w:r>
      <w:proofErr w:type="spellEnd"/>
      <w:r w:rsidRPr="004921D9">
        <w:rPr>
          <w:rFonts w:cs="Times New Roman"/>
        </w:rPr>
        <w:t xml:space="preserve">, </w:t>
      </w:r>
      <w:proofErr w:type="spellStart"/>
      <w:r w:rsidRPr="004921D9">
        <w:rPr>
          <w:rFonts w:cs="Times New Roman"/>
        </w:rPr>
        <w:t>рекомбинантный</w:t>
      </w:r>
      <w:proofErr w:type="spellEnd"/>
      <w:r w:rsidRPr="004921D9">
        <w:rPr>
          <w:rFonts w:cs="Times New Roman"/>
        </w:rPr>
        <w:t xml:space="preserve"> </w:t>
      </w:r>
      <w:proofErr w:type="spellStart"/>
      <w:r w:rsidRPr="004921D9">
        <w:rPr>
          <w:rFonts w:cs="Times New Roman"/>
        </w:rPr>
        <w:t>интерферон</w:t>
      </w:r>
      <w:proofErr w:type="spellEnd"/>
      <w:r w:rsidRPr="004921D9">
        <w:rPr>
          <w:rFonts w:cs="Times New Roman"/>
        </w:rPr>
        <w:t xml:space="preserve"> бета-1b и </w:t>
      </w:r>
      <w:proofErr w:type="spellStart"/>
      <w:r w:rsidRPr="004921D9">
        <w:rPr>
          <w:rFonts w:cs="Times New Roman"/>
        </w:rPr>
        <w:t>лопинавир</w:t>
      </w:r>
      <w:proofErr w:type="spellEnd"/>
      <w:r w:rsidRPr="004921D9">
        <w:rPr>
          <w:rFonts w:cs="Times New Roman"/>
        </w:rPr>
        <w:t>/</w:t>
      </w:r>
      <w:proofErr w:type="spellStart"/>
      <w:r w:rsidRPr="004921D9">
        <w:rPr>
          <w:rFonts w:cs="Times New Roman"/>
        </w:rPr>
        <w:t>ритонавир</w:t>
      </w:r>
      <w:proofErr w:type="spellEnd"/>
      <w:r w:rsidRPr="004921D9">
        <w:rPr>
          <w:rFonts w:cs="Times New Roman"/>
        </w:rPr>
        <w:t>.</w:t>
      </w:r>
    </w:p>
    <w:p w:rsidR="0009369F" w:rsidRDefault="0009369F" w:rsidP="0009369F">
      <w:pPr>
        <w:shd w:val="clear" w:color="auto" w:fill="FFFFFF"/>
        <w:spacing w:line="276" w:lineRule="auto"/>
        <w:contextualSpacing/>
        <w:jc w:val="both"/>
        <w:rPr>
          <w:rFonts w:eastAsia="Times New Roman" w:cs="Times New Roman"/>
          <w:b/>
          <w:lang w:val="ru-RU"/>
        </w:rPr>
      </w:pPr>
    </w:p>
    <w:p w:rsidR="00B14EC6" w:rsidRDefault="00B14EC6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0"/>
  </w:num>
  <w:num w:numId="13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12"/>
  </w:num>
  <w:num w:numId="17">
    <w:abstractNumId w:val="23"/>
  </w:num>
  <w:num w:numId="18">
    <w:abstractNumId w:val="6"/>
  </w:num>
  <w:num w:numId="19">
    <w:abstractNumId w:val="0"/>
  </w:num>
  <w:num w:numId="20">
    <w:abstractNumId w:val="18"/>
  </w:num>
  <w:num w:numId="21">
    <w:abstractNumId w:val="2"/>
  </w:num>
  <w:num w:numId="22">
    <w:abstractNumId w:val="11"/>
  </w:num>
  <w:num w:numId="23">
    <w:abstractNumId w:val="14"/>
  </w:num>
  <w:num w:numId="24">
    <w:abstractNumId w:val="13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33A55"/>
    <w:rsid w:val="00052F9B"/>
    <w:rsid w:val="00067FB5"/>
    <w:rsid w:val="00077791"/>
    <w:rsid w:val="00081163"/>
    <w:rsid w:val="000907D0"/>
    <w:rsid w:val="0009369F"/>
    <w:rsid w:val="000A189A"/>
    <w:rsid w:val="000A5EBE"/>
    <w:rsid w:val="000B1401"/>
    <w:rsid w:val="000B1738"/>
    <w:rsid w:val="000B6BDB"/>
    <w:rsid w:val="000D1C55"/>
    <w:rsid w:val="000F0583"/>
    <w:rsid w:val="00101878"/>
    <w:rsid w:val="00130FC8"/>
    <w:rsid w:val="001435E7"/>
    <w:rsid w:val="00150759"/>
    <w:rsid w:val="0015646A"/>
    <w:rsid w:val="001604A9"/>
    <w:rsid w:val="001658A4"/>
    <w:rsid w:val="00167B03"/>
    <w:rsid w:val="001903E4"/>
    <w:rsid w:val="001A2E33"/>
    <w:rsid w:val="001A2F0D"/>
    <w:rsid w:val="001A5064"/>
    <w:rsid w:val="001B6B61"/>
    <w:rsid w:val="001B7483"/>
    <w:rsid w:val="001D403D"/>
    <w:rsid w:val="001F5A64"/>
    <w:rsid w:val="0020685F"/>
    <w:rsid w:val="00207B64"/>
    <w:rsid w:val="00210628"/>
    <w:rsid w:val="002139D4"/>
    <w:rsid w:val="00220D3A"/>
    <w:rsid w:val="00224A91"/>
    <w:rsid w:val="0023782C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E1F20"/>
    <w:rsid w:val="002E2670"/>
    <w:rsid w:val="002F0E58"/>
    <w:rsid w:val="002F2E76"/>
    <w:rsid w:val="002F68EB"/>
    <w:rsid w:val="0031134E"/>
    <w:rsid w:val="00313FAE"/>
    <w:rsid w:val="00320231"/>
    <w:rsid w:val="003550BE"/>
    <w:rsid w:val="00357353"/>
    <w:rsid w:val="0036423A"/>
    <w:rsid w:val="00365794"/>
    <w:rsid w:val="00366A2A"/>
    <w:rsid w:val="003720B7"/>
    <w:rsid w:val="0037778B"/>
    <w:rsid w:val="00391C6F"/>
    <w:rsid w:val="003A1B22"/>
    <w:rsid w:val="003A379D"/>
    <w:rsid w:val="003A4741"/>
    <w:rsid w:val="003C375D"/>
    <w:rsid w:val="003C4EE8"/>
    <w:rsid w:val="003E072C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A2C93"/>
    <w:rsid w:val="004A524F"/>
    <w:rsid w:val="004B2DC9"/>
    <w:rsid w:val="004B60A5"/>
    <w:rsid w:val="004C2412"/>
    <w:rsid w:val="004D7BCD"/>
    <w:rsid w:val="004E300C"/>
    <w:rsid w:val="004E666D"/>
    <w:rsid w:val="00506900"/>
    <w:rsid w:val="00506CED"/>
    <w:rsid w:val="00510702"/>
    <w:rsid w:val="00513D00"/>
    <w:rsid w:val="00513EEE"/>
    <w:rsid w:val="005276D8"/>
    <w:rsid w:val="00527B6B"/>
    <w:rsid w:val="00543039"/>
    <w:rsid w:val="005550FB"/>
    <w:rsid w:val="00584753"/>
    <w:rsid w:val="00592276"/>
    <w:rsid w:val="005938F8"/>
    <w:rsid w:val="00593916"/>
    <w:rsid w:val="005A1441"/>
    <w:rsid w:val="005B1441"/>
    <w:rsid w:val="005C64E6"/>
    <w:rsid w:val="005F280C"/>
    <w:rsid w:val="005F3E92"/>
    <w:rsid w:val="00611CE3"/>
    <w:rsid w:val="006235D6"/>
    <w:rsid w:val="00634568"/>
    <w:rsid w:val="00635B94"/>
    <w:rsid w:val="0063776E"/>
    <w:rsid w:val="00642870"/>
    <w:rsid w:val="006530FE"/>
    <w:rsid w:val="006626C2"/>
    <w:rsid w:val="006659F8"/>
    <w:rsid w:val="006860F4"/>
    <w:rsid w:val="006C3E78"/>
    <w:rsid w:val="006D0962"/>
    <w:rsid w:val="006E5002"/>
    <w:rsid w:val="006E76E1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470F"/>
    <w:rsid w:val="00754B69"/>
    <w:rsid w:val="007759BE"/>
    <w:rsid w:val="0078249C"/>
    <w:rsid w:val="007932E7"/>
    <w:rsid w:val="007A7CB9"/>
    <w:rsid w:val="007C11FF"/>
    <w:rsid w:val="007C5907"/>
    <w:rsid w:val="007F5E09"/>
    <w:rsid w:val="007F7425"/>
    <w:rsid w:val="00802E61"/>
    <w:rsid w:val="00824A7A"/>
    <w:rsid w:val="00831787"/>
    <w:rsid w:val="0083238B"/>
    <w:rsid w:val="0083436C"/>
    <w:rsid w:val="00834560"/>
    <w:rsid w:val="00841AE6"/>
    <w:rsid w:val="00872A97"/>
    <w:rsid w:val="0088662F"/>
    <w:rsid w:val="008926B2"/>
    <w:rsid w:val="008A40FA"/>
    <w:rsid w:val="008D021B"/>
    <w:rsid w:val="008E3E21"/>
    <w:rsid w:val="00911F5C"/>
    <w:rsid w:val="00921B14"/>
    <w:rsid w:val="009250F7"/>
    <w:rsid w:val="00936F22"/>
    <w:rsid w:val="009470C8"/>
    <w:rsid w:val="009472E7"/>
    <w:rsid w:val="00967367"/>
    <w:rsid w:val="0097469B"/>
    <w:rsid w:val="009A1190"/>
    <w:rsid w:val="009A402B"/>
    <w:rsid w:val="009C3DA9"/>
    <w:rsid w:val="009E4BAF"/>
    <w:rsid w:val="009F14BC"/>
    <w:rsid w:val="009F1747"/>
    <w:rsid w:val="009F5C22"/>
    <w:rsid w:val="00A00538"/>
    <w:rsid w:val="00A02174"/>
    <w:rsid w:val="00A275A2"/>
    <w:rsid w:val="00A304AB"/>
    <w:rsid w:val="00A31FC8"/>
    <w:rsid w:val="00A6124D"/>
    <w:rsid w:val="00A673D4"/>
    <w:rsid w:val="00A73643"/>
    <w:rsid w:val="00A74AE6"/>
    <w:rsid w:val="00A754AE"/>
    <w:rsid w:val="00A84780"/>
    <w:rsid w:val="00AA5000"/>
    <w:rsid w:val="00AD4670"/>
    <w:rsid w:val="00AD4D58"/>
    <w:rsid w:val="00AE597B"/>
    <w:rsid w:val="00AF1392"/>
    <w:rsid w:val="00AF32C9"/>
    <w:rsid w:val="00B02E11"/>
    <w:rsid w:val="00B126BC"/>
    <w:rsid w:val="00B12BDB"/>
    <w:rsid w:val="00B14EC6"/>
    <w:rsid w:val="00B169BB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9243C"/>
    <w:rsid w:val="00BA636B"/>
    <w:rsid w:val="00BC011F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3444E"/>
    <w:rsid w:val="00C46DFA"/>
    <w:rsid w:val="00C52B85"/>
    <w:rsid w:val="00C5781C"/>
    <w:rsid w:val="00C7659E"/>
    <w:rsid w:val="00C767F8"/>
    <w:rsid w:val="00CA4D41"/>
    <w:rsid w:val="00CB2E32"/>
    <w:rsid w:val="00CB5AFD"/>
    <w:rsid w:val="00CC335F"/>
    <w:rsid w:val="00CE409F"/>
    <w:rsid w:val="00CE657D"/>
    <w:rsid w:val="00D03964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637CE"/>
    <w:rsid w:val="00D74063"/>
    <w:rsid w:val="00D915DD"/>
    <w:rsid w:val="00D9614E"/>
    <w:rsid w:val="00DB0242"/>
    <w:rsid w:val="00DB69E3"/>
    <w:rsid w:val="00DB7940"/>
    <w:rsid w:val="00DC6C6C"/>
    <w:rsid w:val="00DD0B57"/>
    <w:rsid w:val="00DF0669"/>
    <w:rsid w:val="00DF0F4F"/>
    <w:rsid w:val="00DF1672"/>
    <w:rsid w:val="00E054B4"/>
    <w:rsid w:val="00E07BA3"/>
    <w:rsid w:val="00E10BEC"/>
    <w:rsid w:val="00E14286"/>
    <w:rsid w:val="00E15D7E"/>
    <w:rsid w:val="00E34DD3"/>
    <w:rsid w:val="00E54B15"/>
    <w:rsid w:val="00E60A03"/>
    <w:rsid w:val="00E624CE"/>
    <w:rsid w:val="00E7254B"/>
    <w:rsid w:val="00E75737"/>
    <w:rsid w:val="00E77491"/>
    <w:rsid w:val="00E83E3A"/>
    <w:rsid w:val="00E94D98"/>
    <w:rsid w:val="00EA0A01"/>
    <w:rsid w:val="00ED1A2C"/>
    <w:rsid w:val="00ED651F"/>
    <w:rsid w:val="00EE3CAE"/>
    <w:rsid w:val="00EE5B22"/>
    <w:rsid w:val="00F13834"/>
    <w:rsid w:val="00F2217A"/>
    <w:rsid w:val="00F25CA6"/>
    <w:rsid w:val="00F26E38"/>
    <w:rsid w:val="00F320D5"/>
    <w:rsid w:val="00F35126"/>
    <w:rsid w:val="00F435E2"/>
    <w:rsid w:val="00F60993"/>
    <w:rsid w:val="00F650EC"/>
    <w:rsid w:val="00F77C89"/>
    <w:rsid w:val="00F801CC"/>
    <w:rsid w:val="00F8132F"/>
    <w:rsid w:val="00F92544"/>
    <w:rsid w:val="00F946D7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0C745-ACC2-4E8C-A35F-EAA798AF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2020-03-13T11:07:00Z</dcterms:created>
  <dcterms:modified xsi:type="dcterms:W3CDTF">2020-03-13T11:08:00Z</dcterms:modified>
</cp:coreProperties>
</file>