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42" w:rsidRPr="00B20442" w:rsidRDefault="00B20442" w:rsidP="00B20442">
      <w:pPr>
        <w:spacing w:line="276" w:lineRule="auto"/>
        <w:jc w:val="right"/>
        <w:rPr>
          <w:rFonts w:cs="Times New Roman"/>
          <w:lang w:val="ru-RU"/>
        </w:rPr>
      </w:pPr>
      <w:r w:rsidRPr="00B20442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B20442">
        <w:rPr>
          <w:rFonts w:cs="Times New Roman"/>
          <w:lang w:val="ru-RU"/>
        </w:rPr>
        <w:t>РосНИПЧИ</w:t>
      </w:r>
      <w:proofErr w:type="spellEnd"/>
      <w:r w:rsidRPr="00B20442">
        <w:rPr>
          <w:rFonts w:cs="Times New Roman"/>
          <w:lang w:val="ru-RU"/>
        </w:rPr>
        <w:t xml:space="preserve"> «Микроб»</w:t>
      </w:r>
    </w:p>
    <w:p w:rsidR="00B20442" w:rsidRDefault="00B20442" w:rsidP="00B20442">
      <w:pPr>
        <w:spacing w:line="276" w:lineRule="auto"/>
        <w:jc w:val="center"/>
        <w:rPr>
          <w:rFonts w:cs="Times New Roman"/>
          <w:b/>
          <w:lang w:val="ru-RU"/>
        </w:rPr>
      </w:pPr>
    </w:p>
    <w:p w:rsidR="00B20442" w:rsidRPr="00B20442" w:rsidRDefault="00B20442" w:rsidP="00B20442">
      <w:pPr>
        <w:spacing w:line="276" w:lineRule="auto"/>
        <w:jc w:val="center"/>
        <w:rPr>
          <w:rFonts w:cs="Times New Roman"/>
          <w:b/>
          <w:lang w:val="ru-RU"/>
        </w:rPr>
      </w:pPr>
      <w:r w:rsidRPr="00B20442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B20442" w:rsidRPr="00B20442" w:rsidRDefault="00B20442" w:rsidP="00B20442">
      <w:pPr>
        <w:spacing w:line="276" w:lineRule="auto"/>
        <w:jc w:val="center"/>
        <w:rPr>
          <w:rFonts w:cs="Times New Roman"/>
          <w:b/>
          <w:lang w:val="ru-RU"/>
        </w:rPr>
      </w:pPr>
      <w:r w:rsidRPr="00B20442">
        <w:rPr>
          <w:rFonts w:cs="Times New Roman"/>
          <w:b/>
          <w:lang w:val="ru-RU"/>
        </w:rPr>
        <w:t>по состоянию на 08.00 (МСК) от 16.03.2020 г.</w:t>
      </w:r>
    </w:p>
    <w:p w:rsidR="00B20442" w:rsidRPr="00B20442" w:rsidRDefault="00B20442" w:rsidP="00B20442">
      <w:pPr>
        <w:spacing w:line="276" w:lineRule="auto"/>
        <w:jc w:val="both"/>
        <w:rPr>
          <w:rFonts w:cs="Times New Roman"/>
          <w:lang w:val="ru-RU"/>
        </w:rPr>
      </w:pPr>
    </w:p>
    <w:p w:rsidR="00B20442" w:rsidRPr="00B20442" w:rsidRDefault="00B20442" w:rsidP="00B20442">
      <w:pPr>
        <w:pStyle w:val="a6"/>
        <w:numPr>
          <w:ilvl w:val="0"/>
          <w:numId w:val="27"/>
        </w:numPr>
        <w:spacing w:line="276" w:lineRule="auto"/>
        <w:ind w:left="0" w:firstLine="0"/>
        <w:jc w:val="both"/>
        <w:rPr>
          <w:rFonts w:cs="Times New Roman"/>
          <w:lang w:val="ru-RU"/>
        </w:rPr>
      </w:pPr>
      <w:r w:rsidRPr="00B20442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15.03.2020 г. (19.00 по </w:t>
      </w:r>
      <w:proofErr w:type="spellStart"/>
      <w:r w:rsidRPr="00B20442">
        <w:rPr>
          <w:rFonts w:cs="Times New Roman"/>
          <w:lang w:val="ru-RU"/>
        </w:rPr>
        <w:t>мск</w:t>
      </w:r>
      <w:proofErr w:type="spellEnd"/>
      <w:r w:rsidRPr="00B20442">
        <w:rPr>
          <w:rFonts w:cs="Times New Roman"/>
          <w:lang w:val="ru-RU"/>
        </w:rPr>
        <w:t xml:space="preserve">) в целом в КНР зарегистрировано случаев заболевания – 81077. За сутки с 00.00 15.03.2020 по 00.00 (время Пекина) 16.03.2020 г. прирост составил 29 случаев (0,04%). </w:t>
      </w:r>
    </w:p>
    <w:p w:rsidR="00B20442" w:rsidRPr="00B20442" w:rsidRDefault="00B20442" w:rsidP="00B20442">
      <w:pPr>
        <w:pStyle w:val="a6"/>
        <w:numPr>
          <w:ilvl w:val="0"/>
          <w:numId w:val="27"/>
        </w:numPr>
        <w:spacing w:before="240" w:line="276" w:lineRule="auto"/>
        <w:ind w:left="0" w:firstLine="0"/>
        <w:jc w:val="both"/>
        <w:rPr>
          <w:rFonts w:cs="Times New Roman"/>
          <w:lang w:val="ru-RU"/>
        </w:rPr>
      </w:pPr>
      <w:r w:rsidRPr="00B20442">
        <w:rPr>
          <w:rFonts w:cs="Times New Roman"/>
          <w:lang w:val="ru-RU"/>
        </w:rPr>
        <w:t xml:space="preserve">Случаев с летальным исходом – 3218 (прирост 14; летальность 4,0%; вне провинции </w:t>
      </w:r>
      <w:proofErr w:type="spellStart"/>
      <w:r w:rsidRPr="00B20442">
        <w:rPr>
          <w:rFonts w:cs="Times New Roman"/>
          <w:lang w:val="ru-RU"/>
        </w:rPr>
        <w:t>Хубэй</w:t>
      </w:r>
      <w:proofErr w:type="spellEnd"/>
      <w:r w:rsidRPr="00B20442">
        <w:rPr>
          <w:rFonts w:cs="Times New Roman"/>
          <w:lang w:val="ru-RU"/>
        </w:rPr>
        <w:t xml:space="preserve"> – 0,90%). Выписано 67863 человек (прирост 841; 1%). Отслежено контактных лиц - 680462 (703 за последние сутки, прирост 0,1%), 9582 находятся под наблюдением. </w:t>
      </w:r>
    </w:p>
    <w:p w:rsidR="00B20442" w:rsidRDefault="00B20442" w:rsidP="00B20442">
      <w:pPr>
        <w:pStyle w:val="a6"/>
        <w:numPr>
          <w:ilvl w:val="0"/>
          <w:numId w:val="27"/>
        </w:numPr>
        <w:spacing w:before="240" w:line="276" w:lineRule="auto"/>
        <w:ind w:left="0" w:firstLine="0"/>
        <w:jc w:val="both"/>
        <w:rPr>
          <w:rFonts w:cs="Times New Roman"/>
          <w:lang w:val="ru-RU"/>
        </w:rPr>
      </w:pPr>
      <w:r w:rsidRPr="00B20442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B20442">
        <w:rPr>
          <w:rFonts w:cs="Times New Roman"/>
          <w:lang w:val="ru-RU"/>
        </w:rPr>
        <w:t>мск</w:t>
      </w:r>
      <w:proofErr w:type="spellEnd"/>
      <w:r w:rsidRPr="00B20442">
        <w:rPr>
          <w:rFonts w:cs="Times New Roman"/>
          <w:lang w:val="ru-RU"/>
        </w:rPr>
        <w:t xml:space="preserve"> 03.16.2020 г. из доступных источников известно о 170281 подтверждённых случаях (прирост за сутки 13750 случаев; 8,8%). В 132 странах мира вне КНР зарегистрировано 89204 случаев (за последние сутки прирост 13721; 18,2%).</w:t>
      </w:r>
    </w:p>
    <w:p w:rsidR="00AA5000" w:rsidRPr="005848FB" w:rsidRDefault="00AA5000" w:rsidP="00B20442">
      <w:pPr>
        <w:pStyle w:val="a6"/>
        <w:numPr>
          <w:ilvl w:val="0"/>
          <w:numId w:val="27"/>
        </w:numPr>
        <w:spacing w:before="240" w:line="276" w:lineRule="auto"/>
        <w:ind w:left="0" w:firstLine="0"/>
        <w:jc w:val="both"/>
        <w:rPr>
          <w:rFonts w:cs="Times New Roman"/>
          <w:lang w:val="ru-RU"/>
        </w:rPr>
      </w:pPr>
      <w:proofErr w:type="spellStart"/>
      <w:r w:rsidRPr="005848FB">
        <w:rPr>
          <w:rFonts w:cs="Times New Roman"/>
        </w:rPr>
        <w:t>За</w:t>
      </w:r>
      <w:proofErr w:type="spellEnd"/>
      <w:r w:rsidRPr="005848FB">
        <w:rPr>
          <w:rFonts w:cs="Times New Roman"/>
        </w:rPr>
        <w:t xml:space="preserve"> </w:t>
      </w:r>
      <w:proofErr w:type="spellStart"/>
      <w:r w:rsidRPr="005848FB">
        <w:rPr>
          <w:rFonts w:cs="Times New Roman"/>
        </w:rPr>
        <w:t>последние</w:t>
      </w:r>
      <w:proofErr w:type="spellEnd"/>
      <w:r w:rsidRPr="005848FB">
        <w:rPr>
          <w:rFonts w:cs="Times New Roman"/>
        </w:rPr>
        <w:t xml:space="preserve"> </w:t>
      </w:r>
      <w:proofErr w:type="spellStart"/>
      <w:r w:rsidRPr="005848FB">
        <w:rPr>
          <w:rFonts w:cs="Times New Roman"/>
        </w:rPr>
        <w:t>сутки</w:t>
      </w:r>
      <w:proofErr w:type="spellEnd"/>
      <w:r w:rsidRPr="005848FB">
        <w:rPr>
          <w:rFonts w:cs="Times New Roman"/>
        </w:rPr>
        <w:t xml:space="preserve"> </w:t>
      </w:r>
      <w:r w:rsidR="006A1179">
        <w:rPr>
          <w:rFonts w:cs="Times New Roman"/>
          <w:lang w:val="ru-RU"/>
        </w:rPr>
        <w:t>стало впервые известно о зарегистрированных случаях</w:t>
      </w:r>
      <w:r w:rsidRPr="005848FB">
        <w:rPr>
          <w:rFonts w:cs="Times New Roman"/>
        </w:rPr>
        <w:t xml:space="preserve"> в</w:t>
      </w:r>
      <w:r w:rsidR="006A1179">
        <w:rPr>
          <w:rFonts w:cs="Times New Roman"/>
          <w:lang w:val="ru-RU"/>
        </w:rPr>
        <w:t xml:space="preserve"> </w:t>
      </w:r>
      <w:r w:rsidR="00B20442">
        <w:rPr>
          <w:rFonts w:cs="Times New Roman"/>
          <w:lang w:val="ru-RU"/>
        </w:rPr>
        <w:t>Экваториальной Гвинее (1; из Испании), Гвинейской Республике (1; из Европы), Узбекистане (1; из Франции), Республике Конго (1; из Франции), Центральной Африканской Республике (1; из Италии)</w:t>
      </w:r>
      <w:r w:rsidR="005848FB">
        <w:rPr>
          <w:rFonts w:cs="Times New Roman"/>
          <w:lang w:val="ru-RU"/>
        </w:rPr>
        <w:t>.</w:t>
      </w:r>
    </w:p>
    <w:p w:rsidR="005848FB" w:rsidRPr="005848FB" w:rsidRDefault="005848FB" w:rsidP="005848FB">
      <w:pPr>
        <w:spacing w:before="240" w:line="276" w:lineRule="auto"/>
        <w:jc w:val="both"/>
        <w:rPr>
          <w:rFonts w:cs="Times New Roman"/>
          <w:lang w:val="ru-RU"/>
        </w:rPr>
      </w:pP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B20442" w:rsidRPr="007E6987" w:rsidTr="007D163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20442" w:rsidRPr="007E6987" w:rsidRDefault="00B20442" w:rsidP="007D163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20442" w:rsidRPr="007E6987" w:rsidRDefault="00B20442" w:rsidP="007D163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20442" w:rsidRPr="007E6987" w:rsidRDefault="00B20442" w:rsidP="007D163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20442" w:rsidRPr="007E6987" w:rsidRDefault="00B20442" w:rsidP="007D163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20442" w:rsidRPr="007E6987" w:rsidRDefault="00B20442" w:rsidP="007D163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20442" w:rsidRPr="007E6987" w:rsidRDefault="00B20442" w:rsidP="007D163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20442" w:rsidRPr="007E6987" w:rsidRDefault="00B20442" w:rsidP="007D163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B20442" w:rsidRPr="007E6987" w:rsidTr="007D163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20442" w:rsidRPr="007E6987" w:rsidRDefault="00B20442" w:rsidP="007D163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81077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29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0,04%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3218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14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B20442" w:rsidRPr="007E6987" w:rsidTr="007D163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20442" w:rsidRPr="007E6987" w:rsidRDefault="00B20442" w:rsidP="007D163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89204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13721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18,2%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3271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639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3,7%</w:t>
            </w:r>
            <w:r>
              <w:rPr>
                <w:rFonts w:cs="Times New Roman"/>
              </w:rPr>
              <w:fldChar w:fldCharType="end"/>
            </w:r>
          </w:p>
        </w:tc>
      </w:tr>
      <w:tr w:rsidR="00B20442" w:rsidRPr="007E6987" w:rsidTr="007D163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20442" w:rsidRPr="007E6987" w:rsidRDefault="00B20442" w:rsidP="007D163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170281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13750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8,8%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6489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653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20442" w:rsidRPr="007E6987" w:rsidRDefault="001666BF" w:rsidP="007D163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20442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B20442" w:rsidRPr="009714D2">
              <w:rPr>
                <w:rFonts w:cs="Times New Roman"/>
                <w:noProof/>
                <w:sz w:val="24"/>
                <w:szCs w:val="24"/>
              </w:rPr>
              <w:t>3,8%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686179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68318" cy="2316507"/>
            <wp:effectExtent l="19050" t="0" r="3682" b="0"/>
            <wp:docPr id="7" name="Рисунок 2" descr="File:COVID-19 Outbreak World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523" cy="231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686179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584315" cy="336550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75737" w:rsidRPr="00B679C4" w:rsidTr="00E7573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 xml:space="preserve">а </w:t>
            </w:r>
            <w:proofErr w:type="spellStart"/>
            <w:proofErr w:type="gramStart"/>
            <w:r w:rsidRPr="00B679C4">
              <w:rPr>
                <w:rFonts w:cs="Times New Roman"/>
                <w:lang w:val="ru-RU"/>
              </w:rPr>
              <w:t>послед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  <w:lang w:val="ru-RU"/>
              </w:rPr>
              <w:t>ние</w:t>
            </w:r>
            <w:proofErr w:type="spellEnd"/>
            <w:proofErr w:type="gramEnd"/>
            <w:r w:rsidRPr="00B679C4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81077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8236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ED1A2C" w:rsidRDefault="00686179" w:rsidP="002D6AA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ED1A2C" w:rsidRDefault="00686179" w:rsidP="00D915D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86179" w:rsidRPr="00ED1A2C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86179" w:rsidRPr="00E75737" w:rsidRDefault="00686179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0A189A" w:rsidRDefault="0068617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F25CA6" w:rsidRDefault="00686179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2D6AAE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2D6AA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86179" w:rsidRPr="00F25CA6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5813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1228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24747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3590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1809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1395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7847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1456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1256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1739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1136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B679C4" w:rsidRDefault="0068617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E7254B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F435E2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4D0E7F" w:rsidRDefault="00686179" w:rsidP="00F435E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4D0E7F" w:rsidRDefault="00686179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4D0E7F" w:rsidRDefault="00686179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F435E2" w:rsidRDefault="00686179" w:rsidP="00E75737">
            <w:pPr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E75737">
            <w:pPr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E75737">
            <w:pPr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Default="00686179" w:rsidP="00E75737">
            <w:pPr>
              <w:rPr>
                <w:lang w:val="ru-RU"/>
              </w:rPr>
            </w:pPr>
            <w:r>
              <w:rPr>
                <w:lang w:val="ru-RU"/>
              </w:rPr>
              <w:t>13.03.20</w:t>
            </w:r>
          </w:p>
        </w:tc>
        <w:tc>
          <w:tcPr>
            <w:tcW w:w="1699" w:type="dxa"/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Default="00686179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F435E2" w:rsidRDefault="00686179" w:rsidP="00686179">
            <w:pPr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</w:tcPr>
          <w:p w:rsidR="00686179" w:rsidRDefault="00686179" w:rsidP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686179" w:rsidRDefault="00686179" w:rsidP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vAlign w:val="bottom"/>
          </w:tcPr>
          <w:p w:rsidR="00686179" w:rsidRDefault="00686179" w:rsidP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686179" w:rsidRDefault="00686179" w:rsidP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686179" w:rsidRDefault="00686179" w:rsidP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686179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686179" w:rsidRPr="00F435E2" w:rsidRDefault="00686179" w:rsidP="00E7254B">
            <w:pPr>
              <w:rPr>
                <w:lang w:val="ru-RU"/>
              </w:rPr>
            </w:pPr>
            <w:r>
              <w:rPr>
                <w:lang w:val="ru-RU"/>
              </w:rPr>
              <w:t>15.03.20</w:t>
            </w:r>
          </w:p>
        </w:tc>
        <w:tc>
          <w:tcPr>
            <w:tcW w:w="1699" w:type="dxa"/>
          </w:tcPr>
          <w:p w:rsidR="00686179" w:rsidRPr="00686179" w:rsidRDefault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Узбекистан</w:t>
            </w:r>
          </w:p>
        </w:tc>
        <w:tc>
          <w:tcPr>
            <w:tcW w:w="1266" w:type="dxa"/>
            <w:vAlign w:val="bottom"/>
          </w:tcPr>
          <w:p w:rsidR="00686179" w:rsidRPr="00686179" w:rsidRDefault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vAlign w:val="bottom"/>
          </w:tcPr>
          <w:p w:rsidR="00686179" w:rsidRPr="00686179" w:rsidRDefault="0068617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bottom"/>
          </w:tcPr>
          <w:p w:rsidR="00686179" w:rsidRPr="00686179" w:rsidRDefault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686179" w:rsidRPr="00686179" w:rsidRDefault="0068617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Pr="00B679C4" w:rsidRDefault="00686179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Pr="00B679C4" w:rsidRDefault="00686179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Pr="00B679C4" w:rsidRDefault="00686179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Pr="00B679C4" w:rsidRDefault="0068617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Pr="00B679C4" w:rsidRDefault="00686179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Pr="004D0E7F" w:rsidRDefault="00686179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Завоз 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D915D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4A524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4A524F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0B140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0B1401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0B140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Default="00686179" w:rsidP="000B1401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7E3CB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86179" w:rsidRPr="00E75737" w:rsidRDefault="00686179" w:rsidP="007E3CB6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7E3CB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686179" w:rsidRDefault="00686179"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88755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686179" w:rsidRDefault="00686179" w:rsidP="00887555"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 w:rsidP="007E3CB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686179" w:rsidRDefault="00686179"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179" w:rsidRDefault="00686179"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686179" w:rsidRDefault="00686179"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86179" w:rsidRDefault="00686179"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686179" w:rsidRDefault="00686179"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F435E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trHeight w:val="276"/>
          <w:jc w:val="center"/>
        </w:trPr>
        <w:tc>
          <w:tcPr>
            <w:tcW w:w="13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6179" w:rsidRPr="00B679C4" w:rsidRDefault="00686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686179" w:rsidRPr="00B679C4" w:rsidRDefault="00686179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167B0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F435E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 w:rsidP="00B7270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686179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31134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 w:rsidP="0031134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 w:rsidP="00D915D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B6010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06.03.20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B6010A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7E3CB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179" w:rsidRPr="00E75737" w:rsidRDefault="00686179" w:rsidP="007E3CB6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4403D0">
              <w:rPr>
                <w:rFonts w:cs="Times New Roman"/>
                <w:lang w:val="ru-RU"/>
              </w:rPr>
              <w:t>13.02.20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4403D0">
              <w:rPr>
                <w:rFonts w:cs="Times New Roman"/>
                <w:lang w:val="ru-RU"/>
              </w:rPr>
              <w:t>13.02.20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4403D0">
              <w:rPr>
                <w:rFonts w:cs="Times New Roman"/>
                <w:lang w:val="ru-RU"/>
              </w:rPr>
              <w:t>13.02.20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 w:rsidP="00887555">
            <w:r w:rsidRPr="004403D0">
              <w:rPr>
                <w:rFonts w:cs="Times New Roman"/>
                <w:lang w:val="ru-RU"/>
              </w:rPr>
              <w:t>13.02.20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 w:rsidP="00887555"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686179" w:rsidRDefault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Судан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5638AF" w:rsidRDefault="0068617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4403D0" w:rsidRDefault="0068617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4403D0" w:rsidRDefault="00686179" w:rsidP="0088755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4403D0" w:rsidRDefault="00686179" w:rsidP="0088755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4403D0" w:rsidRDefault="00686179" w:rsidP="0088755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4403D0" w:rsidRDefault="00686179" w:rsidP="0068617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 w:rsidP="006861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 w:rsidP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 w:rsidP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 w:rsidP="00686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Default="00686179" w:rsidP="006861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 w:rsidP="00686179"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 w:rsidP="0088755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686179" w:rsidRDefault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Гвинейская Республика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 w:rsidP="0088755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686179" w:rsidRDefault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Экваториальная Гвинея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 w:rsidP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 w:rsidP="0068617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 w:rsidP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 w:rsidP="0068617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686179" w:rsidRDefault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Республика Конго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 w:rsidP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 w:rsidP="0068617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 w:rsidP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 w:rsidP="0068617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686179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86179" w:rsidRPr="00B679C4" w:rsidRDefault="00686179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B679C4" w:rsidRDefault="00686179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Pr="00686179" w:rsidRDefault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 w:rsidP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 w:rsidP="0068617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 w:rsidP="0068617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6179" w:rsidRPr="00686179" w:rsidRDefault="00686179" w:rsidP="0068617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686179" w:rsidRDefault="00686179"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6A1179" w:rsidRPr="00B679C4" w:rsidTr="004A524F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</w:tcPr>
          <w:p w:rsidR="006A1179" w:rsidRPr="00B679C4" w:rsidRDefault="006A1179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6A1179" w:rsidRPr="00B679C4" w:rsidRDefault="006A1179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6A1179" w:rsidRPr="00B679C4" w:rsidRDefault="006A1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6A1179" w:rsidRPr="00B679C4" w:rsidRDefault="006A1179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6A1179" w:rsidRPr="009B0C62" w:rsidRDefault="001666BF" w:rsidP="00686179">
            <w:fldSimple w:instr=" =SUM(ABOVE) ">
              <w:r w:rsidR="00686179">
                <w:rPr>
                  <w:noProof/>
                </w:rPr>
                <w:t>170281</w:t>
              </w:r>
            </w:fldSimple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6A1179" w:rsidRPr="009B0C62" w:rsidRDefault="001666BF" w:rsidP="00686179">
            <w:fldSimple w:instr=" =SUM(ABOVE) ">
              <w:r w:rsidR="00686179">
                <w:rPr>
                  <w:noProof/>
                </w:rPr>
                <w:t>13750</w:t>
              </w:r>
            </w:fldSimple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6A1179" w:rsidRPr="009B0C62" w:rsidRDefault="001666BF" w:rsidP="00686179">
            <w:fldSimple w:instr=" =SUM(ABOVE) ">
              <w:r w:rsidR="00686179">
                <w:rPr>
                  <w:noProof/>
                </w:rPr>
                <w:t>6489</w:t>
              </w:r>
            </w:fldSimple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6A1179" w:rsidRPr="006A1179" w:rsidRDefault="001666BF" w:rsidP="00686179">
            <w:pPr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 w:rsidR="00686179"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 w:rsidR="00686179">
              <w:rPr>
                <w:noProof/>
                <w:lang w:val="ru-RU"/>
              </w:rPr>
              <w:t>653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6A1179" w:rsidRDefault="006A1179" w:rsidP="00E7573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DB7940" w:rsidRPr="00710A4D" w:rsidRDefault="00DB7940" w:rsidP="00DB7940">
      <w:pPr>
        <w:rPr>
          <w:lang w:val="ru-RU"/>
        </w:rPr>
      </w:pPr>
    </w:p>
    <w:p w:rsidR="00A74AE6" w:rsidRDefault="00A74AE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9250F7" w:rsidRDefault="00B20442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377180" cy="309118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Италии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F35126" w:rsidRDefault="009250F7" w:rsidP="009250F7">
      <w:pPr>
        <w:pStyle w:val="a6"/>
        <w:shd w:val="clear" w:color="auto" w:fill="FFFFFF"/>
        <w:spacing w:before="180" w:line="276" w:lineRule="auto"/>
        <w:ind w:left="0" w:right="-851" w:firstLine="567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Италии случаи регистрируются преимущественно в регионах на севере Италии - Ломбардия (</w:t>
      </w:r>
      <w:r w:rsidR="00B5256D">
        <w:rPr>
          <w:rFonts w:cs="Times New Roman"/>
          <w:lang w:val="ru-RU"/>
        </w:rPr>
        <w:t>59</w:t>
      </w:r>
      <w:r w:rsidRPr="00F35126">
        <w:rPr>
          <w:rFonts w:cs="Times New Roman"/>
          <w:lang w:val="ru-RU"/>
        </w:rPr>
        <w:t xml:space="preserve">%), </w:t>
      </w:r>
      <w:proofErr w:type="spellStart"/>
      <w:r w:rsidRPr="00F35126">
        <w:rPr>
          <w:rFonts w:cs="Times New Roman"/>
          <w:lang w:val="ru-RU"/>
        </w:rPr>
        <w:t>Эмилия-Романья</w:t>
      </w:r>
      <w:proofErr w:type="spellEnd"/>
      <w:r w:rsidRPr="00F35126">
        <w:rPr>
          <w:rFonts w:cs="Times New Roman"/>
          <w:lang w:val="ru-RU"/>
        </w:rPr>
        <w:t xml:space="preserve"> (</w:t>
      </w:r>
      <w:r w:rsidR="00B5256D">
        <w:rPr>
          <w:rFonts w:cs="Times New Roman"/>
          <w:lang w:val="ru-RU"/>
        </w:rPr>
        <w:t>14</w:t>
      </w:r>
      <w:r w:rsidRPr="00F35126">
        <w:rPr>
          <w:rFonts w:cs="Times New Roman"/>
          <w:lang w:val="ru-RU"/>
        </w:rPr>
        <w:t xml:space="preserve">%) и </w:t>
      </w:r>
      <w:proofErr w:type="spellStart"/>
      <w:r w:rsidRPr="00F35126">
        <w:rPr>
          <w:rFonts w:cs="Times New Roman"/>
          <w:lang w:val="ru-RU"/>
        </w:rPr>
        <w:t>Венето</w:t>
      </w:r>
      <w:proofErr w:type="spellEnd"/>
      <w:r w:rsidRPr="00F35126">
        <w:rPr>
          <w:rFonts w:cs="Times New Roman"/>
          <w:lang w:val="ru-RU"/>
        </w:rPr>
        <w:t xml:space="preserve"> (</w:t>
      </w:r>
      <w:r w:rsidR="004D7BCD">
        <w:rPr>
          <w:rFonts w:cs="Times New Roman"/>
          <w:lang w:val="ru-RU"/>
        </w:rPr>
        <w:t>8</w:t>
      </w:r>
      <w:r w:rsidRPr="00F35126">
        <w:rPr>
          <w:rFonts w:cs="Times New Roman"/>
          <w:lang w:val="ru-RU"/>
        </w:rPr>
        <w:t>%).</w:t>
      </w:r>
      <w:r w:rsidR="009A402B">
        <w:rPr>
          <w:rFonts w:cs="Times New Roman"/>
          <w:lang w:val="ru-RU"/>
        </w:rPr>
        <w:t xml:space="preserve"> В Италии регистрируется наиболее высокая летальность в </w:t>
      </w:r>
      <w:r w:rsidR="009A402B" w:rsidRPr="002F0E58">
        <w:rPr>
          <w:rFonts w:cs="Times New Roman"/>
          <w:lang w:val="ru-RU"/>
        </w:rPr>
        <w:t xml:space="preserve">мире  - </w:t>
      </w:r>
      <w:r w:rsidR="00B20442">
        <w:rPr>
          <w:rFonts w:cs="Times New Roman"/>
          <w:lang w:val="ru-RU"/>
        </w:rPr>
        <w:t>7,3</w:t>
      </w:r>
      <w:r w:rsidR="009A402B" w:rsidRPr="002F0E58">
        <w:rPr>
          <w:rFonts w:cs="Times New Roman"/>
          <w:lang w:val="ru-RU"/>
        </w:rPr>
        <w:t xml:space="preserve"> %.</w:t>
      </w:r>
      <w:r w:rsidR="009A402B">
        <w:rPr>
          <w:rFonts w:cs="Times New Roman"/>
          <w:lang w:val="ru-RU"/>
        </w:rPr>
        <w:t xml:space="preserve"> </w:t>
      </w:r>
      <w:r w:rsidR="002F0E58">
        <w:rPr>
          <w:rFonts w:cs="Times New Roman"/>
          <w:lang w:val="ru-RU"/>
        </w:rPr>
        <w:t xml:space="preserve">Всего зарегистрировано </w:t>
      </w:r>
      <w:r w:rsidR="00B20442">
        <w:rPr>
          <w:rFonts w:cs="Times New Roman"/>
          <w:lang w:val="ru-RU"/>
        </w:rPr>
        <w:t>24747</w:t>
      </w:r>
      <w:r w:rsidR="002F0E58">
        <w:rPr>
          <w:rFonts w:cs="Times New Roman"/>
          <w:lang w:val="ru-RU"/>
        </w:rPr>
        <w:t xml:space="preserve"> случаев (+</w:t>
      </w:r>
      <w:r w:rsidR="00B20442">
        <w:rPr>
          <w:rFonts w:cs="Times New Roman"/>
          <w:lang w:val="ru-RU"/>
        </w:rPr>
        <w:t>3590</w:t>
      </w:r>
      <w:r w:rsidR="002F0E58">
        <w:rPr>
          <w:rFonts w:cs="Times New Roman"/>
          <w:lang w:val="ru-RU"/>
        </w:rPr>
        <w:t xml:space="preserve"> за последние сутки).</w:t>
      </w:r>
    </w:p>
    <w:p w:rsidR="005276D8" w:rsidRDefault="009250F7" w:rsidP="005276D8">
      <w:pPr>
        <w:pStyle w:val="a8"/>
        <w:spacing w:line="276" w:lineRule="auto"/>
        <w:ind w:firstLine="567"/>
        <w:rPr>
          <w:color w:val="000000"/>
        </w:rPr>
      </w:pPr>
      <w:r w:rsidRPr="00F35126">
        <w:rPr>
          <w:color w:val="000000"/>
        </w:rPr>
        <w:t xml:space="preserve">Правительство Италии предприняло ряд мер по ограничению распространения вируса в стране. Приказом министра от 30.01.20 отменены все рейсы из Китая на 90 дней. В аэропортах внедрено использование тепловых сканеров для контроля на рейсах, прибывающих из Китая. Совет министров 31.01.20 объявил чрезвычайное положение на 6 месяцев, а на экстренном заседании 22.02.20 принял декрет о мерах борьбы со вспышкой. В зонах вспышки практически полностью запрещены въезд и выезд. Блокировку обеспечивают военные и правоохранительные органы. </w:t>
      </w:r>
      <w:r w:rsidR="005276D8" w:rsidRPr="00F35126">
        <w:rPr>
          <w:color w:val="000000"/>
        </w:rPr>
        <w:t xml:space="preserve">Крупные компании разрешили сотрудникам работать из дома. </w:t>
      </w:r>
      <w:r w:rsidR="005276D8">
        <w:rPr>
          <w:color w:val="000000"/>
        </w:rPr>
        <w:t>Принято решение о закрытии школ и университетов до середины марта. Все спортивные матчи до 03.04.20 будут проходить без участия зрителей.</w:t>
      </w:r>
    </w:p>
    <w:p w:rsidR="009250F7" w:rsidRDefault="009250F7" w:rsidP="005276D8">
      <w:pPr>
        <w:pStyle w:val="a8"/>
        <w:spacing w:line="276" w:lineRule="auto"/>
        <w:rPr>
          <w:color w:val="000000"/>
        </w:rPr>
      </w:pPr>
      <w:r>
        <w:rPr>
          <w:color w:val="000000"/>
        </w:rPr>
        <w:t>Указ Президента Совета Министров от 04.03.20 г. вводит или продлевает следующие меры: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Собрания и общественные мероприятия должны быть перенесены. Любые мероприятия, в том числе театральные и кинематографические, должны быть организованы с учётом безопасного расстояния между людьми в 1 метр. Прекращены занятия в школах и университетах до 15.03.20. Приостановлены программы по обмену и групповые поездки, запланированные образовательными учреждениями.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В медучреждениях сопровождающим запрещается находиться в залах ожидания приёмных отделений и в отделениях неотложной помощи. Посещение жителей домов престарелых позволено только с разрешения руководства учреждения. 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Проведение информационно-профилактической работы с населением: пожилым людям и людям, страдающим от хронических заболеваний или иммунодефицита, рекомендовать не выходить из дома кроме случаев крайней необходимости и избегать людных мест. </w:t>
      </w:r>
      <w:proofErr w:type="gramStart"/>
      <w:r>
        <w:rPr>
          <w:color w:val="000000"/>
        </w:rPr>
        <w:t>Разместить информацию</w:t>
      </w:r>
      <w:proofErr w:type="gramEnd"/>
      <w:r>
        <w:rPr>
          <w:color w:val="000000"/>
        </w:rPr>
        <w:t xml:space="preserve"> о мерах по охране здоровья и гигиене в местах больших скоплений людей.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Разместить в органах государственного управления средства для дезинфекции рук. Транспортные компании должны принять максимальные меры для дезинфекции транспортных средств. </w:t>
      </w:r>
    </w:p>
    <w:p w:rsidR="009250F7" w:rsidRPr="00620F0B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При въезде в Италию с территории с повышенным эпидемиологическим риском необходимо уведомить медучреждение по месту пребывания. Оператор от службы общественного здравоохранения обязан ежедневно связываться с лицом, находящимся под наблюдением.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6530FE" w:rsidRDefault="005276D8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206DAE">
        <w:rPr>
          <w:rFonts w:cs="Times New Roman"/>
          <w:lang w:val="ru-RU"/>
        </w:rPr>
        <w:t xml:space="preserve">08.03.20 премьер-министр Италии подписал декрет, который вводит ограничения на въезд и на выезд, а также на передвижение по нескольким территориям. С 8 марта по 3 апреля будут закрыты на въезд и выезд вся Ломбардия и еще 14 провинций: Парма, </w:t>
      </w:r>
      <w:proofErr w:type="spellStart"/>
      <w:r w:rsidRPr="00206DAE">
        <w:rPr>
          <w:rFonts w:cs="Times New Roman"/>
          <w:lang w:val="ru-RU"/>
        </w:rPr>
        <w:t>Пьяченца</w:t>
      </w:r>
      <w:proofErr w:type="spellEnd"/>
      <w:r w:rsidRPr="00206DAE">
        <w:rPr>
          <w:rFonts w:cs="Times New Roman"/>
          <w:lang w:val="ru-RU"/>
        </w:rPr>
        <w:t xml:space="preserve">, Римини, </w:t>
      </w:r>
      <w:proofErr w:type="spellStart"/>
      <w:r w:rsidRPr="00206DAE">
        <w:rPr>
          <w:rFonts w:cs="Times New Roman"/>
          <w:lang w:val="ru-RU"/>
        </w:rPr>
        <w:t>Реджонель-Эмилия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Модена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Пезаро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Урбино</w:t>
      </w:r>
      <w:proofErr w:type="spellEnd"/>
      <w:r w:rsidRPr="00206DAE">
        <w:rPr>
          <w:rFonts w:cs="Times New Roman"/>
          <w:lang w:val="ru-RU"/>
        </w:rPr>
        <w:t xml:space="preserve">, Падуя, </w:t>
      </w:r>
      <w:proofErr w:type="spellStart"/>
      <w:r w:rsidRPr="00206DAE">
        <w:rPr>
          <w:rFonts w:cs="Times New Roman"/>
          <w:lang w:val="ru-RU"/>
        </w:rPr>
        <w:t>Тревизо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Алессандрия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Вербано-Кузио-Оссола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Новара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Верчелли</w:t>
      </w:r>
      <w:proofErr w:type="spellEnd"/>
      <w:r w:rsidRPr="00206DAE">
        <w:rPr>
          <w:rFonts w:cs="Times New Roman"/>
          <w:lang w:val="ru-RU"/>
        </w:rPr>
        <w:t xml:space="preserve"> и </w:t>
      </w:r>
      <w:proofErr w:type="spellStart"/>
      <w:r w:rsidRPr="00206DAE">
        <w:rPr>
          <w:rFonts w:cs="Times New Roman"/>
          <w:lang w:val="ru-RU"/>
        </w:rPr>
        <w:t>Асти</w:t>
      </w:r>
      <w:proofErr w:type="spellEnd"/>
      <w:r w:rsidRPr="00206DAE">
        <w:rPr>
          <w:rFonts w:cs="Times New Roman"/>
          <w:lang w:val="ru-RU"/>
        </w:rPr>
        <w:t>. Въезд и выезд из данных территорий будет возможен только в исключительных случаях, например, по медицинским показаниям. Ограничения коснутся также работы различных учреждений: будут закрыты музеи, галереи и другие места для проведения культурных мероприятий</w:t>
      </w:r>
      <w:r>
        <w:rPr>
          <w:rFonts w:cs="Times New Roman"/>
          <w:lang w:val="ru-RU"/>
        </w:rPr>
        <w:t>.</w:t>
      </w:r>
      <w:r w:rsidR="006530FE">
        <w:rPr>
          <w:rFonts w:cs="Times New Roman"/>
          <w:lang w:val="ru-RU"/>
        </w:rPr>
        <w:t xml:space="preserve"> </w:t>
      </w:r>
    </w:p>
    <w:p w:rsidR="005276D8" w:rsidRDefault="006530FE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t xml:space="preserve">Вечером 09.03.20 Премьер-министр Италии заявил, что меры по ограничению передвижения и другие карантинные меры из-за вспышки </w:t>
      </w:r>
      <w:proofErr w:type="spellStart"/>
      <w:r w:rsidRPr="006530FE">
        <w:rPr>
          <w:rFonts w:cs="Times New Roman"/>
          <w:lang w:val="ru-RU"/>
        </w:rPr>
        <w:t>коронавируса</w:t>
      </w:r>
      <w:proofErr w:type="spellEnd"/>
      <w:r w:rsidRPr="006530FE">
        <w:rPr>
          <w:rFonts w:cs="Times New Roman"/>
          <w:lang w:val="ru-RU"/>
        </w:rPr>
        <w:t xml:space="preserve"> будут распрост</w:t>
      </w:r>
      <w:r>
        <w:rPr>
          <w:rFonts w:cs="Times New Roman"/>
          <w:lang w:val="ru-RU"/>
        </w:rPr>
        <w:t>ранены на всю территорию страны. Н</w:t>
      </w:r>
      <w:r w:rsidRPr="006530FE">
        <w:rPr>
          <w:rFonts w:cs="Times New Roman"/>
          <w:lang w:val="ru-RU"/>
        </w:rPr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>
        <w:rPr>
          <w:rFonts w:cs="Times New Roman"/>
          <w:lang w:val="ru-RU"/>
        </w:rPr>
        <w:t xml:space="preserve"> </w:t>
      </w:r>
      <w:r w:rsidRPr="006530FE">
        <w:rPr>
          <w:rFonts w:cs="Times New Roman"/>
          <w:lang w:val="ru-RU"/>
        </w:rPr>
        <w:t>В соответствии с новыми мерами, все бары и рестораны в Италии должны закрываться в шесть часов вечера. Их работа в дневное время возможна только при соблюдении дистанции между посетителями. Учеба в школах и университетах прекращена до 3 апреля. Закрываются пабы, дискотеки, залы для азартных игр. Запрещены все церемонии, включая свадьбы, похороны и церковные службы, не работают театры, кино, музеи и спортивные залы.</w:t>
      </w:r>
    </w:p>
    <w:p w:rsidR="00527B6B" w:rsidRDefault="00527B6B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527B6B">
        <w:rPr>
          <w:rFonts w:cs="Times New Roman"/>
          <w:lang w:val="ru-RU"/>
        </w:rPr>
        <w:t xml:space="preserve">Власти Италии расширили меры борьбы против распространения </w:t>
      </w:r>
      <w:proofErr w:type="spellStart"/>
      <w:r w:rsidRPr="00527B6B">
        <w:rPr>
          <w:rFonts w:cs="Times New Roman"/>
          <w:lang w:val="ru-RU"/>
        </w:rPr>
        <w:t>коронавируса</w:t>
      </w:r>
      <w:proofErr w:type="spellEnd"/>
      <w:r w:rsidRPr="00527B6B">
        <w:rPr>
          <w:rFonts w:cs="Times New Roman"/>
          <w:lang w:val="ru-RU"/>
        </w:rPr>
        <w:t xml:space="preserve"> SARS-CoV-2. С 12 марта по всей стране будут закрыты бары, рестораны, а также почти все магазины, объявил в среду, 11 марта, премьер-министр Джузеппе Конте. Решение не коснется аптек и супермаркетов, подчеркнул </w:t>
      </w:r>
      <w:proofErr w:type="gramStart"/>
      <w:r w:rsidRPr="00527B6B">
        <w:rPr>
          <w:rFonts w:cs="Times New Roman"/>
          <w:lang w:val="ru-RU"/>
        </w:rPr>
        <w:t>Конте</w:t>
      </w:r>
      <w:proofErr w:type="gramEnd"/>
      <w:r w:rsidRPr="00527B6B">
        <w:rPr>
          <w:rFonts w:cs="Times New Roman"/>
          <w:lang w:val="ru-RU"/>
        </w:rPr>
        <w:t>. В канцелярии премьера добавили, что эта мера будет действовать до 25 марта.</w:t>
      </w:r>
    </w:p>
    <w:p w:rsidR="00527B6B" w:rsidRDefault="00527B6B" w:rsidP="00CE657D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B20442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6120765" cy="276796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Южной Корее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Южной Корее наибольшее число случаев зарегистрировано в городе-метрополии Тэгу (7</w:t>
      </w:r>
      <w:r>
        <w:rPr>
          <w:rFonts w:cs="Times New Roman"/>
          <w:lang w:val="ru-RU"/>
        </w:rPr>
        <w:t>5</w:t>
      </w:r>
      <w:r w:rsidRPr="00F35126">
        <w:rPr>
          <w:rFonts w:cs="Times New Roman"/>
          <w:lang w:val="ru-RU"/>
        </w:rPr>
        <w:t xml:space="preserve">%) и окружающей его провинции </w:t>
      </w:r>
      <w:proofErr w:type="spellStart"/>
      <w:r w:rsidRPr="00F35126">
        <w:rPr>
          <w:rFonts w:cs="Times New Roman"/>
          <w:lang w:val="ru-RU"/>
        </w:rPr>
        <w:t>Кёнсан-Пукто</w:t>
      </w:r>
      <w:proofErr w:type="spellEnd"/>
      <w:r>
        <w:rPr>
          <w:rFonts w:cs="Times New Roman"/>
          <w:lang w:val="ru-RU"/>
        </w:rPr>
        <w:t xml:space="preserve"> (</w:t>
      </w:r>
      <w:r w:rsidR="004D7BCD">
        <w:rPr>
          <w:rFonts w:cs="Times New Roman"/>
          <w:lang w:val="ru-RU"/>
        </w:rPr>
        <w:t>15</w:t>
      </w:r>
      <w:r>
        <w:rPr>
          <w:rFonts w:cs="Times New Roman"/>
          <w:lang w:val="ru-RU"/>
        </w:rPr>
        <w:t>%)</w:t>
      </w:r>
      <w:r w:rsidRPr="00F351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="002F0E58">
        <w:rPr>
          <w:rFonts w:cs="Times New Roman"/>
          <w:lang w:val="ru-RU"/>
        </w:rPr>
        <w:t xml:space="preserve"> Всего в стране зарегистрировано </w:t>
      </w:r>
      <w:r w:rsidR="00E84184">
        <w:rPr>
          <w:rFonts w:cs="Times New Roman"/>
          <w:lang w:val="ru-RU"/>
        </w:rPr>
        <w:t>8236</w:t>
      </w:r>
      <w:r w:rsidR="002F0E58">
        <w:rPr>
          <w:rFonts w:cs="Times New Roman"/>
          <w:lang w:val="ru-RU"/>
        </w:rPr>
        <w:t xml:space="preserve"> случаев заболевания (</w:t>
      </w:r>
      <w:r w:rsidR="00E84184">
        <w:rPr>
          <w:rFonts w:cs="Times New Roman"/>
          <w:lang w:val="ru-RU"/>
        </w:rPr>
        <w:t>74</w:t>
      </w:r>
      <w:r w:rsidR="002F0E58">
        <w:rPr>
          <w:rFonts w:cs="Times New Roman"/>
          <w:lang w:val="ru-RU"/>
        </w:rPr>
        <w:t xml:space="preserve"> за последние сутки). Летальность составляет 0,</w:t>
      </w:r>
      <w:r w:rsidR="0027759D">
        <w:rPr>
          <w:rFonts w:cs="Times New Roman"/>
          <w:lang w:val="ru-RU"/>
        </w:rPr>
        <w:t>9</w:t>
      </w:r>
      <w:r w:rsidR="002F0E58">
        <w:rPr>
          <w:rFonts w:cs="Times New Roman"/>
          <w:lang w:val="ru-RU"/>
        </w:rPr>
        <w:t>%.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Запрет на въезд лиц, побывавших в провинции </w:t>
      </w:r>
      <w:proofErr w:type="spellStart"/>
      <w:r>
        <w:rPr>
          <w:rFonts w:cs="Times New Roman"/>
          <w:lang w:val="ru-RU"/>
        </w:rPr>
        <w:t>Хубэй</w:t>
      </w:r>
      <w:proofErr w:type="spellEnd"/>
      <w:r>
        <w:rPr>
          <w:rFonts w:cs="Times New Roman"/>
          <w:lang w:val="ru-RU"/>
        </w:rPr>
        <w:t xml:space="preserve"> (Китай), введён с 02.02.20 г. Прибывшие из КНР граждане Китая  помещаются под карантин. Правительство рекомендовало гражданам Южной Кореи, прибывшим из КНР, взять 14-дневный отпуск или работать на дому; работникам билетных пропусков, туалетов, общественного транспорта рекомендовано носить маску. Все детские сады и школы в стране отложили начало занятий до 22.03.20. Однако в рабочее время детские сады и начальные школы принимают детей в группы не более 10 человек в случае невозможности оставить ребёнка с кем-либо из взрослых дома.  В </w:t>
      </w:r>
      <w:proofErr w:type="gramStart"/>
      <w:r>
        <w:rPr>
          <w:rFonts w:cs="Times New Roman"/>
          <w:lang w:val="ru-RU"/>
        </w:rPr>
        <w:t>г</w:t>
      </w:r>
      <w:proofErr w:type="gramEnd"/>
      <w:r>
        <w:rPr>
          <w:rFonts w:cs="Times New Roman"/>
          <w:lang w:val="ru-RU"/>
        </w:rPr>
        <w:t xml:space="preserve">. Тэгу приостановлен призыв в армию.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Государство дополнительно субсидирует малый бизнес с целью предоставления гибкого графика работникам. Общественные мероприятия с массовым скоплением людей запрещены.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E84184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736590" cy="3169920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Иране </w:t>
      </w:r>
    </w:p>
    <w:p w:rsidR="009250F7" w:rsidRDefault="009250F7" w:rsidP="009250F7">
      <w:pPr>
        <w:shd w:val="clear" w:color="auto" w:fill="FFFFFF"/>
        <w:spacing w:before="180" w:line="276" w:lineRule="auto"/>
        <w:ind w:right="-851"/>
        <w:rPr>
          <w:rFonts w:cs="Times New Roman"/>
          <w:lang w:val="ru-RU"/>
        </w:rPr>
      </w:pPr>
    </w:p>
    <w:p w:rsidR="009250F7" w:rsidRPr="00A00538" w:rsidRDefault="009250F7" w:rsidP="00D40A1D">
      <w:pPr>
        <w:shd w:val="clear" w:color="auto" w:fill="FFFFFF"/>
        <w:spacing w:before="180" w:line="276" w:lineRule="auto"/>
        <w:ind w:right="-851" w:firstLine="708"/>
        <w:rPr>
          <w:rFonts w:cs="Times New Roman"/>
          <w:lang w:val="ru-RU"/>
        </w:rPr>
      </w:pPr>
      <w:r w:rsidRPr="00A00538">
        <w:rPr>
          <w:rFonts w:cs="Times New Roman"/>
          <w:lang w:val="ru-RU"/>
        </w:rPr>
        <w:t>В Иране большинство случаев зарегистрировано в провинции Тегеран (</w:t>
      </w:r>
      <w:r w:rsidR="004D7BCD">
        <w:rPr>
          <w:rFonts w:cs="Times New Roman"/>
          <w:lang w:val="ru-RU"/>
        </w:rPr>
        <w:t>31</w:t>
      </w:r>
      <w:r w:rsidRPr="00A00538">
        <w:rPr>
          <w:rFonts w:cs="Times New Roman"/>
          <w:lang w:val="ru-RU"/>
        </w:rPr>
        <w:t xml:space="preserve">%). </w:t>
      </w:r>
      <w:r w:rsidR="004D7BCD">
        <w:rPr>
          <w:rFonts w:cs="Times New Roman"/>
          <w:lang w:val="ru-RU"/>
        </w:rPr>
        <w:t>При этом случаи заболевания зарегистрированы во всех провинциях страны.</w:t>
      </w:r>
      <w:r w:rsidR="002F0E58">
        <w:rPr>
          <w:rFonts w:cs="Times New Roman"/>
          <w:lang w:val="ru-RU"/>
        </w:rPr>
        <w:t xml:space="preserve"> Всего зарегистрировано </w:t>
      </w:r>
      <w:r w:rsidR="00E84184">
        <w:rPr>
          <w:rFonts w:cs="Times New Roman"/>
          <w:lang w:val="ru-RU"/>
        </w:rPr>
        <w:t>13938</w:t>
      </w:r>
      <w:r w:rsidR="002F0E58">
        <w:rPr>
          <w:rFonts w:cs="Times New Roman"/>
          <w:lang w:val="ru-RU"/>
        </w:rPr>
        <w:t xml:space="preserve"> случаев (</w:t>
      </w:r>
      <w:r w:rsidR="00E84184">
        <w:rPr>
          <w:rFonts w:cs="Times New Roman"/>
          <w:lang w:val="ru-RU"/>
        </w:rPr>
        <w:t>1209</w:t>
      </w:r>
      <w:r w:rsidR="002F0E58">
        <w:rPr>
          <w:rFonts w:cs="Times New Roman"/>
          <w:lang w:val="ru-RU"/>
        </w:rPr>
        <w:t xml:space="preserve"> за последние </w:t>
      </w:r>
      <w:r w:rsidR="00E84184">
        <w:rPr>
          <w:rFonts w:cs="Times New Roman"/>
          <w:lang w:val="ru-RU"/>
        </w:rPr>
        <w:t>сутки). Летальность составляет 5,2</w:t>
      </w:r>
      <w:r w:rsidR="002F0E58">
        <w:rPr>
          <w:rFonts w:cs="Times New Roman"/>
          <w:lang w:val="ru-RU"/>
        </w:rPr>
        <w:t>%.</w:t>
      </w:r>
    </w:p>
    <w:p w:rsidR="009250F7" w:rsidRDefault="009250F7" w:rsidP="00D40A1D">
      <w:pPr>
        <w:pStyle w:val="a6"/>
        <w:shd w:val="clear" w:color="auto" w:fill="FFFFFF"/>
        <w:spacing w:before="180" w:line="276" w:lineRule="auto"/>
        <w:ind w:left="0" w:right="-851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С 27.02 Иран запретил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>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провинции Кум. Министерство спорта запретило некоторые спортивные матчи.</w:t>
      </w:r>
    </w:p>
    <w:p w:rsidR="009250F7" w:rsidRPr="004B60A5" w:rsidRDefault="009250F7" w:rsidP="00D40A1D">
      <w:pPr>
        <w:pStyle w:val="a6"/>
        <w:shd w:val="clear" w:color="auto" w:fill="FFFFFF"/>
        <w:spacing w:before="180" w:line="276" w:lineRule="auto"/>
        <w:ind w:left="0" w:right="-851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>02.03.20 правительство объявило о мобилизации 300 тыс. солдат и волонтёров для борьбы с распространением инфекции. 05.03.20 объявлено, что</w:t>
      </w:r>
      <w:r w:rsidRPr="00290A4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стране закрываются школы и университеты до 20.03.20. Между крупными городами установлены пункты пропуска.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E84184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4944110" cy="2761615"/>
            <wp:effectExtent l="19050" t="0" r="889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24F" w:rsidRPr="00AD4670" w:rsidRDefault="004A524F" w:rsidP="004A524F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Германии </w:t>
      </w:r>
    </w:p>
    <w:p w:rsidR="00B20D95" w:rsidRDefault="00B20D9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t xml:space="preserve">В Германии </w:t>
      </w:r>
      <w:r>
        <w:rPr>
          <w:rFonts w:cs="Times New Roman"/>
          <w:lang w:val="ru-RU"/>
        </w:rPr>
        <w:t>к наиболее поражённым регионам относятся Северный Рейн-Вестфалия (</w:t>
      </w:r>
      <w:r w:rsidR="00B5256D">
        <w:rPr>
          <w:rFonts w:cs="Times New Roman"/>
          <w:lang w:val="ru-RU"/>
        </w:rPr>
        <w:t>41</w:t>
      </w:r>
      <w:r>
        <w:rPr>
          <w:rFonts w:cs="Times New Roman"/>
          <w:lang w:val="ru-RU"/>
        </w:rPr>
        <w:t xml:space="preserve">% </w:t>
      </w:r>
      <w:proofErr w:type="gramStart"/>
      <w:r>
        <w:rPr>
          <w:rFonts w:cs="Times New Roman"/>
          <w:lang w:val="ru-RU"/>
        </w:rPr>
        <w:t>заболевших</w:t>
      </w:r>
      <w:proofErr w:type="gramEnd"/>
      <w:r>
        <w:rPr>
          <w:rFonts w:cs="Times New Roman"/>
          <w:lang w:val="ru-RU"/>
        </w:rPr>
        <w:t>), Бавария (22,5%) и Баден-Вюртемберг (</w:t>
      </w:r>
      <w:r w:rsidR="00B5256D">
        <w:rPr>
          <w:rFonts w:cs="Times New Roman"/>
          <w:lang w:val="ru-RU"/>
        </w:rPr>
        <w:t>18</w:t>
      </w:r>
      <w:r>
        <w:rPr>
          <w:rFonts w:cs="Times New Roman"/>
          <w:lang w:val="ru-RU"/>
        </w:rPr>
        <w:t xml:space="preserve">%). </w:t>
      </w:r>
      <w:r w:rsidR="002F0E58">
        <w:rPr>
          <w:rFonts w:cs="Times New Roman"/>
          <w:lang w:val="ru-RU"/>
        </w:rPr>
        <w:t xml:space="preserve"> Всего в стране зарегистрировано </w:t>
      </w:r>
      <w:r w:rsidR="00E84184">
        <w:rPr>
          <w:rFonts w:cs="Times New Roman"/>
          <w:lang w:val="ru-RU"/>
        </w:rPr>
        <w:t>5813</w:t>
      </w:r>
      <w:r w:rsidR="002F0E58">
        <w:rPr>
          <w:rFonts w:cs="Times New Roman"/>
          <w:lang w:val="ru-RU"/>
        </w:rPr>
        <w:t xml:space="preserve"> случаев (</w:t>
      </w:r>
      <w:r w:rsidR="00E84184">
        <w:rPr>
          <w:rFonts w:cs="Times New Roman"/>
          <w:lang w:val="ru-RU"/>
        </w:rPr>
        <w:t>1228</w:t>
      </w:r>
      <w:r w:rsidR="002F0E58">
        <w:rPr>
          <w:rFonts w:cs="Times New Roman"/>
          <w:lang w:val="ru-RU"/>
        </w:rPr>
        <w:t xml:space="preserve"> за последние сутки). Летальность составляет 0,</w:t>
      </w:r>
      <w:r w:rsidR="0027759D">
        <w:rPr>
          <w:rFonts w:cs="Times New Roman"/>
          <w:lang w:val="ru-RU"/>
        </w:rPr>
        <w:t>2</w:t>
      </w:r>
      <w:r w:rsidR="002F0E58">
        <w:rPr>
          <w:rFonts w:cs="Times New Roman"/>
          <w:lang w:val="ru-RU"/>
        </w:rPr>
        <w:t xml:space="preserve">% </w:t>
      </w:r>
      <w:r w:rsidR="0027759D">
        <w:rPr>
          <w:rFonts w:cs="Times New Roman"/>
          <w:lang w:val="ru-RU"/>
        </w:rPr>
        <w:t>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28.02 </w:t>
      </w:r>
      <w:r w:rsidRPr="006530FE">
        <w:rPr>
          <w:rFonts w:cs="Times New Roman"/>
          <w:lang w:val="ru-RU"/>
        </w:rPr>
        <w:t xml:space="preserve"> Германия приняла меры безопасности в области здравоохранения, включающие правила воздушных и морских путешествий, согласно которым пассажиры из Китая, Южной Кореи, Японии, Италии и Ирана должны сообщать о своем состоянии здоровья до въезда. Железнодорожные компании должны сообщать властям о пассажирах с симптомами, а федеральная полиция будет проводить проверки в пределах 30 километров от границы. </w:t>
      </w:r>
      <w:r>
        <w:rPr>
          <w:rFonts w:cs="Times New Roman"/>
          <w:lang w:val="ru-RU"/>
        </w:rPr>
        <w:t xml:space="preserve">В стране отменены некоторые мероприятия (книжная ярмарка в Лейпциге, выставка туризма в Берлине и другие). 04.03.20 Германия запретила вывоз </w:t>
      </w:r>
      <w:r w:rsidRPr="006530FE">
        <w:rPr>
          <w:rFonts w:cs="Times New Roman"/>
          <w:lang w:val="ru-RU"/>
        </w:rPr>
        <w:t>защитных масок, перчаток и костюмов.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t xml:space="preserve">6 марта министр здравоохранения Германии </w:t>
      </w:r>
      <w:proofErr w:type="spellStart"/>
      <w:r w:rsidRPr="006530FE">
        <w:rPr>
          <w:rFonts w:cs="Times New Roman"/>
          <w:lang w:val="ru-RU"/>
        </w:rPr>
        <w:t>Спан</w:t>
      </w:r>
      <w:proofErr w:type="spellEnd"/>
      <w:r w:rsidRPr="006530FE">
        <w:rPr>
          <w:rFonts w:cs="Times New Roman"/>
          <w:lang w:val="ru-RU"/>
        </w:rPr>
        <w:t xml:space="preserve"> исключил «любые меры, ведущие к ограничениям на поездки» в Европейском союзе, и высказался против закрытия всех школ и университетов в Германии. </w:t>
      </w:r>
      <w:proofErr w:type="spellStart"/>
      <w:r w:rsidRPr="006530FE">
        <w:rPr>
          <w:rFonts w:cs="Times New Roman"/>
          <w:lang w:val="ru-RU"/>
        </w:rPr>
        <w:t>Спан</w:t>
      </w:r>
      <w:proofErr w:type="spellEnd"/>
      <w:r w:rsidRPr="006530FE">
        <w:rPr>
          <w:rFonts w:cs="Times New Roman"/>
          <w:lang w:val="ru-RU"/>
        </w:rPr>
        <w:t xml:space="preserve"> рекомендовал не совершать ненужных поездок и предложил людям, прибывающим из зон риска, оставаться дома. Институт Роберта Коха подчеркнул, что маски и дезинфицирующие средства не должны использоваться здоровыми лицами.</w:t>
      </w:r>
      <w:r>
        <w:rPr>
          <w:rFonts w:cs="Times New Roman"/>
          <w:lang w:val="ru-RU"/>
        </w:rPr>
        <w:t xml:space="preserve"> </w:t>
      </w:r>
      <w:r w:rsidRPr="006530FE">
        <w:rPr>
          <w:rFonts w:cs="Times New Roman"/>
          <w:lang w:val="ru-RU"/>
        </w:rPr>
        <w:t>8 марта министр здравоохранения Германии рекомендовал отменить мероприятия с участием более 1000 человек.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Pr="006530FE" w:rsidRDefault="00E84184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803900" cy="3286125"/>
            <wp:effectExtent l="19050" t="0" r="635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24F" w:rsidRPr="00AD4670" w:rsidRDefault="004A524F" w:rsidP="004A524F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>
        <w:rPr>
          <w:rFonts w:cs="Times New Roman"/>
          <w:lang w:val="ru-RU"/>
        </w:rPr>
        <w:t xml:space="preserve"> во Франции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4D7BCD" w:rsidRPr="004D7BCD" w:rsidRDefault="004D7BCD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lang w:val="ru-RU"/>
        </w:rPr>
      </w:pPr>
      <w:r w:rsidRPr="004D7BCD">
        <w:rPr>
          <w:rFonts w:cs="Times New Roman"/>
          <w:lang w:val="ru-RU"/>
        </w:rPr>
        <w:t xml:space="preserve">Во Франции в большинстве регионов </w:t>
      </w:r>
      <w:proofErr w:type="gramStart"/>
      <w:r w:rsidRPr="004D7BCD">
        <w:rPr>
          <w:rFonts w:cs="Times New Roman"/>
          <w:lang w:val="ru-RU"/>
        </w:rPr>
        <w:t>зарегистрированы</w:t>
      </w:r>
      <w:proofErr w:type="gramEnd"/>
      <w:r w:rsidRPr="004D7BCD">
        <w:rPr>
          <w:rFonts w:cs="Times New Roman"/>
          <w:lang w:val="ru-RU"/>
        </w:rPr>
        <w:t xml:space="preserve"> случая </w:t>
      </w:r>
      <w:r w:rsidRPr="004D7BCD">
        <w:rPr>
          <w:rFonts w:cs="Times New Roman"/>
          <w:lang w:val="en-US"/>
        </w:rPr>
        <w:t>COVID</w:t>
      </w:r>
      <w:r w:rsidRPr="004D7BCD">
        <w:rPr>
          <w:rFonts w:cs="Times New Roman"/>
          <w:lang w:val="ru-RU"/>
        </w:rPr>
        <w:t>-19. Бол</w:t>
      </w:r>
      <w:r>
        <w:rPr>
          <w:rFonts w:cs="Times New Roman"/>
          <w:lang w:val="ru-RU"/>
        </w:rPr>
        <w:t xml:space="preserve">ьше всего поражены регионы Гранд-Эст (около 26% случаев) и </w:t>
      </w:r>
      <w:proofErr w:type="spellStart"/>
      <w:r>
        <w:rPr>
          <w:rFonts w:cs="Times New Roman"/>
          <w:lang w:val="ru-RU"/>
        </w:rPr>
        <w:t>О-де-Франс</w:t>
      </w:r>
      <w:proofErr w:type="spellEnd"/>
      <w:r>
        <w:rPr>
          <w:rFonts w:cs="Times New Roman"/>
          <w:lang w:val="ru-RU"/>
        </w:rPr>
        <w:t xml:space="preserve"> (около 19% случаев). </w:t>
      </w:r>
      <w:r w:rsidR="002F0E58">
        <w:rPr>
          <w:rFonts w:cs="Times New Roman"/>
          <w:lang w:val="ru-RU"/>
        </w:rPr>
        <w:t xml:space="preserve">Всего в стране зарегистрировано </w:t>
      </w:r>
      <w:r w:rsidR="00E84184">
        <w:rPr>
          <w:rFonts w:cs="Times New Roman"/>
          <w:lang w:val="ru-RU"/>
        </w:rPr>
        <w:t>5437</w:t>
      </w:r>
      <w:r w:rsidR="002F0E58">
        <w:rPr>
          <w:rFonts w:cs="Times New Roman"/>
          <w:lang w:val="ru-RU"/>
        </w:rPr>
        <w:t xml:space="preserve"> случаев (</w:t>
      </w:r>
      <w:r w:rsidR="00E84184">
        <w:rPr>
          <w:rFonts w:cs="Times New Roman"/>
          <w:lang w:val="ru-RU"/>
        </w:rPr>
        <w:t>938</w:t>
      </w:r>
      <w:r w:rsidR="002F0E58">
        <w:rPr>
          <w:rFonts w:cs="Times New Roman"/>
          <w:lang w:val="ru-RU"/>
        </w:rPr>
        <w:t xml:space="preserve"> за последние сутки). Летальность составляет 2</w:t>
      </w:r>
      <w:r w:rsidR="00E84184">
        <w:rPr>
          <w:rFonts w:cs="Times New Roman"/>
          <w:lang w:val="ru-RU"/>
        </w:rPr>
        <w:t>,3</w:t>
      </w:r>
      <w:r w:rsidR="002F0E58">
        <w:rPr>
          <w:rFonts w:cs="Times New Roman"/>
          <w:lang w:val="ru-RU"/>
        </w:rPr>
        <w:t>%.</w:t>
      </w:r>
    </w:p>
    <w:p w:rsidR="004D7BCD" w:rsidRPr="004D7BCD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4D7BCD">
        <w:rPr>
          <w:rFonts w:cs="Times New Roman"/>
          <w:lang w:val="ru-RU"/>
        </w:rPr>
        <w:tab/>
        <w:t xml:space="preserve">04.02.20 </w:t>
      </w:r>
      <w:proofErr w:type="spellStart"/>
      <w:r w:rsidRPr="004D7BCD">
        <w:rPr>
          <w:rFonts w:cs="Times New Roman"/>
          <w:lang w:val="ru-RU"/>
        </w:rPr>
        <w:t>Air</w:t>
      </w:r>
      <w:proofErr w:type="spellEnd"/>
      <w:r w:rsidRPr="004D7BCD">
        <w:rPr>
          <w:rFonts w:cs="Times New Roman"/>
          <w:lang w:val="ru-RU"/>
        </w:rPr>
        <w:t xml:space="preserve"> </w:t>
      </w:r>
      <w:proofErr w:type="spellStart"/>
      <w:r w:rsidRPr="004D7BCD">
        <w:rPr>
          <w:rFonts w:cs="Times New Roman"/>
          <w:lang w:val="ru-RU"/>
        </w:rPr>
        <w:t>France</w:t>
      </w:r>
      <w:proofErr w:type="spellEnd"/>
      <w:r>
        <w:rPr>
          <w:rFonts w:cs="Times New Roman"/>
          <w:lang w:val="ru-RU"/>
        </w:rPr>
        <w:t xml:space="preserve"> приостановила все перелёты между Францией и КНР. </w:t>
      </w:r>
    </w:p>
    <w:p w:rsidR="004D7BCD" w:rsidRDefault="004D7BCD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>По сообщениям от 09.03.20 в</w:t>
      </w:r>
      <w:r w:rsidRPr="004044DE">
        <w:rPr>
          <w:rFonts w:cs="Times New Roman"/>
          <w:lang w:val="ru-RU"/>
        </w:rPr>
        <w:t xml:space="preserve">се мероприятия, число участников которых превышает тысячу человек, запрещены во Франции, заявил министр здравоохранения страны Оливье </w:t>
      </w:r>
      <w:proofErr w:type="spellStart"/>
      <w:r w:rsidRPr="004044DE">
        <w:rPr>
          <w:rFonts w:cs="Times New Roman"/>
          <w:lang w:val="ru-RU"/>
        </w:rPr>
        <w:t>Веран</w:t>
      </w:r>
      <w:proofErr w:type="spellEnd"/>
      <w:r w:rsidRPr="004044D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4044DE">
        <w:rPr>
          <w:rFonts w:cs="Times New Roman"/>
          <w:lang w:val="ru-RU"/>
        </w:rPr>
        <w:t>Из-за распространения заболевания был перенесён Парижский марафон и отменены или перенесены международные выставки и салоны.</w:t>
      </w:r>
    </w:p>
    <w:p w:rsidR="00E1073F" w:rsidRDefault="00E1073F" w:rsidP="00E1073F">
      <w:pPr>
        <w:pStyle w:val="a6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lang w:val="ru-RU"/>
        </w:rPr>
      </w:pPr>
      <w:r w:rsidRPr="00233F90">
        <w:rPr>
          <w:rFonts w:cs="Times New Roman"/>
          <w:lang w:val="ru-RU"/>
        </w:rPr>
        <w:t xml:space="preserve">Школы, ясли и университеты Франции будут временно закрыты с 16 марта в связи с распространением </w:t>
      </w:r>
      <w:proofErr w:type="spellStart"/>
      <w:r w:rsidRPr="00233F90">
        <w:rPr>
          <w:rFonts w:cs="Times New Roman"/>
          <w:lang w:val="ru-RU"/>
        </w:rPr>
        <w:t>коронавируса</w:t>
      </w:r>
      <w:proofErr w:type="spellEnd"/>
      <w:r w:rsidRPr="00233F90">
        <w:rPr>
          <w:rFonts w:cs="Times New Roman"/>
          <w:lang w:val="ru-RU"/>
        </w:rPr>
        <w:t xml:space="preserve">. Об этом сообщил 12.03.20 президент Франции во время телевизионного обращения к нации. При этом </w:t>
      </w:r>
      <w:proofErr w:type="spellStart"/>
      <w:r w:rsidRPr="00233F90">
        <w:rPr>
          <w:rFonts w:cs="Times New Roman"/>
          <w:lang w:val="ru-RU"/>
        </w:rPr>
        <w:t>Макрон</w:t>
      </w:r>
      <w:proofErr w:type="spellEnd"/>
      <w:r w:rsidRPr="00233F90">
        <w:rPr>
          <w:rFonts w:cs="Times New Roman"/>
          <w:lang w:val="ru-RU"/>
        </w:rPr>
        <w:t xml:space="preserve"> подтвердил проведение в марте в стране муниципальных выборов, несмотря на распространение заболевания, вызванного новым типом </w:t>
      </w:r>
      <w:proofErr w:type="spellStart"/>
      <w:r w:rsidRPr="00233F90">
        <w:rPr>
          <w:rFonts w:cs="Times New Roman"/>
          <w:lang w:val="ru-RU"/>
        </w:rPr>
        <w:t>коронавируса</w:t>
      </w:r>
      <w:proofErr w:type="spellEnd"/>
      <w:r>
        <w:rPr>
          <w:rFonts w:cs="Times New Roman"/>
          <w:lang w:val="ru-RU"/>
        </w:rPr>
        <w:t xml:space="preserve">. </w:t>
      </w:r>
      <w:r w:rsidRPr="00233F90">
        <w:rPr>
          <w:rFonts w:cs="Times New Roman"/>
          <w:lang w:val="ru-RU"/>
        </w:rPr>
        <w:t xml:space="preserve">Руководителей французских компаний президент призвал по возможности разрешать сотрудникам работать удаленно, а людей старше 70, а также жителей Франции с ослабленным здоровьем, </w:t>
      </w:r>
      <w:r>
        <w:rPr>
          <w:rFonts w:cs="Times New Roman"/>
          <w:lang w:val="ru-RU"/>
        </w:rPr>
        <w:t>Президент</w:t>
      </w:r>
      <w:r w:rsidRPr="00233F90">
        <w:rPr>
          <w:rFonts w:cs="Times New Roman"/>
          <w:lang w:val="ru-RU"/>
        </w:rPr>
        <w:t xml:space="preserve"> попросил во время эпидемии как можно реже выходить из дома. Кроме того, он пообещал ввести специальный механизм, предусматривающий выплату компенсаций работникам, которые вынуждены оставаться дома.</w:t>
      </w:r>
    </w:p>
    <w:p w:rsidR="004C6018" w:rsidRDefault="004C6018" w:rsidP="00E1073F">
      <w:pPr>
        <w:pStyle w:val="a6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14.03.20 закрываются все торговые точки, за </w:t>
      </w:r>
      <w:proofErr w:type="spellStart"/>
      <w:r>
        <w:rPr>
          <w:rFonts w:cs="Times New Roman"/>
          <w:lang w:val="ru-RU"/>
        </w:rPr>
        <w:t>исключенем</w:t>
      </w:r>
      <w:proofErr w:type="spellEnd"/>
      <w:r>
        <w:rPr>
          <w:rFonts w:cs="Times New Roman"/>
          <w:lang w:val="ru-RU"/>
        </w:rPr>
        <w:t xml:space="preserve"> жизненно </w:t>
      </w:r>
      <w:proofErr w:type="gramStart"/>
      <w:r>
        <w:rPr>
          <w:rFonts w:cs="Times New Roman"/>
          <w:lang w:val="ru-RU"/>
        </w:rPr>
        <w:t>важных</w:t>
      </w:r>
      <w:proofErr w:type="gramEnd"/>
      <w:r>
        <w:rPr>
          <w:rFonts w:cs="Times New Roman"/>
          <w:lang w:val="ru-RU"/>
        </w:rPr>
        <w:t xml:space="preserve">. </w:t>
      </w:r>
    </w:p>
    <w:p w:rsidR="00E1073F" w:rsidRDefault="00E1073F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b/>
          <w:lang w:val="ru-RU"/>
        </w:rPr>
      </w:pPr>
    </w:p>
    <w:p w:rsidR="004D7BCD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4D7BCD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2A48CB" w:rsidRDefault="002A48CB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4A524F" w:rsidRDefault="00E84184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810250" cy="3243580"/>
            <wp:effectExtent l="1905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24F" w:rsidRPr="00AD4670" w:rsidRDefault="004A524F" w:rsidP="004A524F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Испании </w:t>
      </w:r>
    </w:p>
    <w:p w:rsidR="004A524F" w:rsidRDefault="004A524F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B5256D" w:rsidRDefault="00B5256D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Натбольшее</w:t>
      </w:r>
      <w:proofErr w:type="spellEnd"/>
      <w:r>
        <w:rPr>
          <w:rFonts w:cs="Times New Roman"/>
          <w:lang w:val="ru-RU"/>
        </w:rPr>
        <w:t xml:space="preserve"> количество случаев зарегистрировано в автономном сообществе Мадрид (45%).</w:t>
      </w:r>
      <w:r w:rsidR="002F0E58">
        <w:rPr>
          <w:rFonts w:cs="Times New Roman"/>
          <w:lang w:val="ru-RU"/>
        </w:rPr>
        <w:t xml:space="preserve"> Всего в стране зарегистрировано </w:t>
      </w:r>
      <w:r w:rsidR="00E84184">
        <w:rPr>
          <w:rFonts w:cs="Times New Roman"/>
          <w:lang w:val="ru-RU"/>
        </w:rPr>
        <w:t>7847</w:t>
      </w:r>
      <w:r w:rsidR="002F0E58">
        <w:rPr>
          <w:rFonts w:cs="Times New Roman"/>
          <w:lang w:val="ru-RU"/>
        </w:rPr>
        <w:t xml:space="preserve"> случаев (за последние  сутки - </w:t>
      </w:r>
      <w:r w:rsidR="00E84184">
        <w:rPr>
          <w:rFonts w:cs="Times New Roman"/>
          <w:lang w:val="ru-RU"/>
        </w:rPr>
        <w:t>1456</w:t>
      </w:r>
      <w:r w:rsidR="002F0E58">
        <w:rPr>
          <w:rFonts w:cs="Times New Roman"/>
          <w:lang w:val="ru-RU"/>
        </w:rPr>
        <w:t xml:space="preserve">). Летальность составляет </w:t>
      </w:r>
      <w:r w:rsidR="004C6018">
        <w:rPr>
          <w:rFonts w:cs="Times New Roman"/>
          <w:lang w:val="ru-RU"/>
        </w:rPr>
        <w:t>3.</w:t>
      </w:r>
      <w:r w:rsidR="00E84184">
        <w:rPr>
          <w:rFonts w:cs="Times New Roman"/>
          <w:lang w:val="ru-RU"/>
        </w:rPr>
        <w:t>7</w:t>
      </w:r>
      <w:r w:rsidR="002F0E58">
        <w:rPr>
          <w:rFonts w:cs="Times New Roman"/>
          <w:lang w:val="ru-RU"/>
        </w:rPr>
        <w:t>%.</w:t>
      </w:r>
    </w:p>
    <w:p w:rsidR="004A524F" w:rsidRDefault="004A524F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10.03.20 Правительство Испании заявило о прекращении авиасообщения с Италией до 25.03.20. </w:t>
      </w:r>
    </w:p>
    <w:p w:rsidR="0037778B" w:rsidRDefault="0037778B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37778B">
        <w:rPr>
          <w:rFonts w:cs="Times New Roman"/>
          <w:lang w:val="ru-RU"/>
        </w:rPr>
        <w:t>Власти также пообещали ежедневно дезинфицировать вагоны метро, автобусы и пригородные электрички.</w:t>
      </w:r>
      <w:r>
        <w:rPr>
          <w:rFonts w:cs="Times New Roman"/>
          <w:lang w:val="ru-RU"/>
        </w:rPr>
        <w:t xml:space="preserve"> Матчи футбольной лиги Испании проводятся без участия зрителей. </w:t>
      </w:r>
    </w:p>
    <w:p w:rsidR="004C6018" w:rsidRPr="004A524F" w:rsidRDefault="004C6018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Правительство Испании ввело 15-дневный общенациональный карантин с 16.03.20 г. Людям будет разрешено выходить из дома только в случае необходимости – за продуктами и на работу, а также в чрезвычайных ситуациях. 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будут</w:t>
      </w:r>
      <w:proofErr w:type="gramEnd"/>
      <w:r>
        <w:rPr>
          <w:rFonts w:cs="Times New Roman"/>
          <w:lang w:val="ru-RU"/>
        </w:rPr>
        <w:t xml:space="preserve"> закрыты по всей стране. </w:t>
      </w:r>
    </w:p>
    <w:p w:rsidR="004A524F" w:rsidRDefault="004A524F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841AE6" w:rsidRDefault="007D163F" w:rsidP="007D163F">
      <w:pPr>
        <w:shd w:val="clear" w:color="auto" w:fill="FFFFFF"/>
        <w:spacing w:before="180" w:line="276" w:lineRule="auto"/>
        <w:contextualSpacing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Информация из отчёта ВОЗ от 16.03.20</w:t>
      </w:r>
    </w:p>
    <w:p w:rsidR="0027759D" w:rsidRDefault="0027759D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7D163F" w:rsidRPr="007D163F" w:rsidRDefault="007D163F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>Группа специалистов ВОЗ посетила Ирак для проверки готовности национальной лаборатории, медицинских учреждений</w:t>
      </w:r>
      <w:r w:rsidR="000F14DD">
        <w:rPr>
          <w:rFonts w:cs="Times New Roman"/>
          <w:lang w:val="ru-RU"/>
        </w:rPr>
        <w:t xml:space="preserve">, а также для руководства по  подготовке </w:t>
      </w:r>
      <w:proofErr w:type="spellStart"/>
      <w:r w:rsidR="000F14DD">
        <w:rPr>
          <w:rFonts w:cs="Times New Roman"/>
          <w:lang w:val="ru-RU"/>
        </w:rPr>
        <w:t>противоэпидемичесих</w:t>
      </w:r>
      <w:proofErr w:type="spellEnd"/>
      <w:r w:rsidR="000F14DD">
        <w:rPr>
          <w:rFonts w:cs="Times New Roman"/>
          <w:lang w:val="ru-RU"/>
        </w:rPr>
        <w:t xml:space="preserve"> служб.</w:t>
      </w:r>
    </w:p>
    <w:p w:rsidR="004C6018" w:rsidRPr="0027759D" w:rsidRDefault="004C6018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09369F" w:rsidRPr="004921D9" w:rsidRDefault="0009369F" w:rsidP="0009369F">
      <w:pPr>
        <w:shd w:val="clear" w:color="auto" w:fill="FFFFFF"/>
        <w:spacing w:line="276" w:lineRule="auto"/>
        <w:contextualSpacing/>
        <w:jc w:val="center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Эпидемиологические</w:t>
      </w:r>
      <w:proofErr w:type="spellEnd"/>
      <w:r w:rsidRPr="004921D9">
        <w:rPr>
          <w:rFonts w:cs="Times New Roman"/>
          <w:b/>
        </w:rPr>
        <w:t xml:space="preserve"> и </w:t>
      </w:r>
      <w:proofErr w:type="spellStart"/>
      <w:r w:rsidRPr="004921D9">
        <w:rPr>
          <w:rFonts w:cs="Times New Roman"/>
          <w:b/>
        </w:rPr>
        <w:t>клинические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характеристики</w:t>
      </w:r>
      <w:proofErr w:type="spellEnd"/>
    </w:p>
    <w:p w:rsidR="0009369F" w:rsidRPr="004921D9" w:rsidRDefault="0009369F" w:rsidP="0009369F">
      <w:pPr>
        <w:shd w:val="clear" w:color="auto" w:fill="FFFFFF"/>
        <w:spacing w:line="276" w:lineRule="auto"/>
        <w:contextualSpacing/>
        <w:rPr>
          <w:rFonts w:cs="Times New Roman"/>
          <w:b/>
        </w:rPr>
      </w:pPr>
    </w:p>
    <w:p w:rsidR="0009369F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lang w:val="ru-RU"/>
        </w:rPr>
      </w:pPr>
      <w:proofErr w:type="spellStart"/>
      <w:r w:rsidRPr="004921D9">
        <w:rPr>
          <w:rFonts w:cs="Times New Roman"/>
          <w:b/>
        </w:rPr>
        <w:t>Возбудитель</w:t>
      </w:r>
      <w:proofErr w:type="spellEnd"/>
      <w:r w:rsidRPr="004921D9">
        <w:rPr>
          <w:rFonts w:cs="Times New Roman"/>
          <w:b/>
        </w:rPr>
        <w:t xml:space="preserve"> – </w:t>
      </w:r>
      <w:proofErr w:type="spellStart"/>
      <w:r w:rsidRPr="004921D9">
        <w:rPr>
          <w:rFonts w:cs="Times New Roman"/>
        </w:rPr>
        <w:t>новый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</w:t>
      </w:r>
      <w:proofErr w:type="spellEnd"/>
      <w:r w:rsidRPr="004921D9">
        <w:rPr>
          <w:rFonts w:cs="Times New Roman"/>
        </w:rPr>
        <w:t xml:space="preserve">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</w:t>
      </w:r>
      <w:proofErr w:type="spellStart"/>
      <w:r w:rsidRPr="004921D9">
        <w:rPr>
          <w:rFonts w:cs="Times New Roman"/>
        </w:rPr>
        <w:t>название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присвоено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Международным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комитетом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таксономии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вирусов</w:t>
      </w:r>
      <w:proofErr w:type="spellEnd"/>
      <w:r w:rsidRPr="004921D9">
        <w:rPr>
          <w:rFonts w:cs="Times New Roman"/>
        </w:rPr>
        <w:t xml:space="preserve"> 11.02.20).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Природный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резервуар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</w:rPr>
        <w:t>неизвестен</w:t>
      </w:r>
      <w:proofErr w:type="spellEnd"/>
      <w:r w:rsidRPr="004921D9">
        <w:rPr>
          <w:rFonts w:cs="Times New Roman"/>
        </w:rPr>
        <w:t xml:space="preserve">; </w:t>
      </w:r>
      <w:proofErr w:type="spellStart"/>
      <w:r w:rsidRPr="004921D9">
        <w:rPr>
          <w:rFonts w:cs="Times New Roman"/>
        </w:rPr>
        <w:t>вероятно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дикие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животные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предполагаются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летучие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мыши</w:t>
      </w:r>
      <w:proofErr w:type="spellEnd"/>
      <w:r w:rsidRPr="004921D9">
        <w:rPr>
          <w:rFonts w:cs="Times New Roman"/>
        </w:rPr>
        <w:t>).</w:t>
      </w:r>
      <w:r>
        <w:rPr>
          <w:rFonts w:cs="Times New Roman"/>
          <w:lang w:val="ru-RU"/>
        </w:rPr>
        <w:t xml:space="preserve"> </w:t>
      </w:r>
      <w:proofErr w:type="spellStart"/>
      <w:r w:rsidRPr="004921D9">
        <w:rPr>
          <w:rFonts w:cs="Times New Roman"/>
          <w:b/>
        </w:rPr>
        <w:t>Источник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инфекции</w:t>
      </w:r>
      <w:proofErr w:type="spellEnd"/>
      <w:r w:rsidRPr="004921D9">
        <w:rPr>
          <w:rFonts w:cs="Times New Roman"/>
          <w:b/>
        </w:rPr>
        <w:t xml:space="preserve"> - </w:t>
      </w:r>
      <w:proofErr w:type="spellStart"/>
      <w:r w:rsidRPr="004921D9">
        <w:rPr>
          <w:rFonts w:cs="Times New Roman"/>
        </w:rPr>
        <w:t>больной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человек</w:t>
      </w:r>
      <w:proofErr w:type="spellEnd"/>
      <w:r>
        <w:rPr>
          <w:rFonts w:cs="Times New Roman"/>
          <w:lang w:val="ru-RU"/>
        </w:rPr>
        <w:t>.</w:t>
      </w:r>
    </w:p>
    <w:p w:rsidR="0009369F" w:rsidRPr="00513EEE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lang w:val="ru-RU"/>
        </w:rPr>
      </w:pPr>
    </w:p>
    <w:p w:rsidR="0009369F" w:rsidRPr="00C34564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  <w:b/>
        </w:rPr>
        <w:t>Механизмы</w:t>
      </w:r>
      <w:proofErr w:type="spellEnd"/>
      <w:r w:rsidRPr="004921D9">
        <w:rPr>
          <w:rFonts w:cs="Times New Roman"/>
          <w:b/>
        </w:rPr>
        <w:t xml:space="preserve">, </w:t>
      </w:r>
      <w:proofErr w:type="spellStart"/>
      <w:r w:rsidRPr="004921D9">
        <w:rPr>
          <w:rFonts w:cs="Times New Roman"/>
          <w:b/>
        </w:rPr>
        <w:t>пути</w:t>
      </w:r>
      <w:proofErr w:type="spellEnd"/>
      <w:r w:rsidRPr="004921D9">
        <w:rPr>
          <w:rFonts w:cs="Times New Roman"/>
          <w:b/>
        </w:rPr>
        <w:t xml:space="preserve"> и </w:t>
      </w:r>
      <w:proofErr w:type="spellStart"/>
      <w:r w:rsidRPr="004921D9">
        <w:rPr>
          <w:rFonts w:cs="Times New Roman"/>
          <w:b/>
        </w:rPr>
        <w:t>факторы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передачи</w:t>
      </w:r>
      <w:proofErr w:type="spellEnd"/>
      <w:r w:rsidRPr="004921D9">
        <w:rPr>
          <w:rFonts w:cs="Times New Roman"/>
          <w:b/>
        </w:rPr>
        <w:t xml:space="preserve"> – </w:t>
      </w:r>
      <w:proofErr w:type="spellStart"/>
      <w:r w:rsidRPr="004921D9">
        <w:rPr>
          <w:rFonts w:cs="Times New Roman"/>
        </w:rPr>
        <w:t>основной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– </w:t>
      </w:r>
      <w:proofErr w:type="spellStart"/>
      <w:r w:rsidRPr="004921D9">
        <w:rPr>
          <w:rFonts w:cs="Times New Roman"/>
        </w:rPr>
        <w:t>аспирационный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воздушно-капельный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или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воздушно-пылевой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>).</w:t>
      </w:r>
      <w:r>
        <w:rPr>
          <w:rFonts w:cs="Times New Roman"/>
          <w:lang w:val="ru-RU"/>
        </w:rPr>
        <w:t xml:space="preserve"> </w:t>
      </w:r>
      <w:proofErr w:type="spellStart"/>
      <w:r w:rsidRPr="004921D9">
        <w:rPr>
          <w:rFonts w:cs="Times New Roman"/>
        </w:rPr>
        <w:t>Реализуется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несколько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механизмов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: </w:t>
      </w:r>
      <w:proofErr w:type="spellStart"/>
      <w:r w:rsidRPr="004921D9">
        <w:rPr>
          <w:rFonts w:cs="Times New Roman"/>
        </w:rPr>
        <w:t>аэрогенный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воздушно-капельный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воздушно-пылевой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); </w:t>
      </w:r>
      <w:proofErr w:type="spellStart"/>
      <w:r w:rsidRPr="004921D9">
        <w:rPr>
          <w:rFonts w:cs="Times New Roman"/>
        </w:rPr>
        <w:t>фекально-оральный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; </w:t>
      </w:r>
      <w:proofErr w:type="spellStart"/>
      <w:r w:rsidRPr="004921D9">
        <w:rPr>
          <w:rFonts w:cs="Times New Roman"/>
        </w:rPr>
        <w:t>контактный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Существует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потенциальный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риск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инфекции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нового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типа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матери</w:t>
      </w:r>
      <w:proofErr w:type="spellEnd"/>
      <w:r w:rsidRPr="004921D9">
        <w:rPr>
          <w:rFonts w:cs="Times New Roman"/>
        </w:rPr>
        <w:t xml:space="preserve"> </w:t>
      </w:r>
      <w:r w:rsidRPr="00C34564">
        <w:rPr>
          <w:rFonts w:cs="Times New Roman"/>
        </w:rPr>
        <w:t xml:space="preserve">к </w:t>
      </w:r>
      <w:proofErr w:type="spellStart"/>
      <w:r w:rsidRPr="00C34564">
        <w:rPr>
          <w:rFonts w:cs="Times New Roman"/>
        </w:rPr>
        <w:t>ребенку</w:t>
      </w:r>
      <w:proofErr w:type="spellEnd"/>
      <w:r w:rsidRPr="00C34564">
        <w:rPr>
          <w:rFonts w:cs="Times New Roman"/>
        </w:rPr>
        <w:t>.</w:t>
      </w:r>
    </w:p>
    <w:p w:rsidR="0009369F" w:rsidRPr="00C34564" w:rsidRDefault="0009369F" w:rsidP="0009369F">
      <w:pPr>
        <w:adjustRightInd w:val="0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C34564">
        <w:rPr>
          <w:rFonts w:cs="Times New Roman"/>
        </w:rPr>
        <w:t>Вирус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способен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сохранять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жизнеспособность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на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поверхностях</w:t>
      </w:r>
      <w:proofErr w:type="spellEnd"/>
      <w:r w:rsidRPr="00C34564">
        <w:rPr>
          <w:rFonts w:cs="Times New Roman"/>
        </w:rPr>
        <w:t xml:space="preserve"> в </w:t>
      </w:r>
      <w:proofErr w:type="spellStart"/>
      <w:r w:rsidRPr="00C34564">
        <w:rPr>
          <w:rFonts w:cs="Times New Roman"/>
        </w:rPr>
        <w:t>течение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нескольких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часов</w:t>
      </w:r>
      <w:proofErr w:type="spellEnd"/>
      <w:r w:rsidRPr="00C34564">
        <w:rPr>
          <w:rFonts w:cs="Times New Roman"/>
        </w:rPr>
        <w:t xml:space="preserve">, а </w:t>
      </w:r>
      <w:proofErr w:type="spellStart"/>
      <w:r w:rsidRPr="00C34564">
        <w:rPr>
          <w:rFonts w:cs="Times New Roman"/>
        </w:rPr>
        <w:t>при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температуре</w:t>
      </w:r>
      <w:proofErr w:type="spellEnd"/>
      <w:r w:rsidRPr="00C34564">
        <w:rPr>
          <w:rFonts w:cs="Times New Roman"/>
        </w:rPr>
        <w:t xml:space="preserve"> 20</w:t>
      </w:r>
      <w:r w:rsidRPr="00C34564">
        <w:rPr>
          <w:rFonts w:cs="Times New Roman"/>
          <w:vertAlign w:val="superscript"/>
        </w:rPr>
        <w:t>0</w:t>
      </w:r>
      <w:r w:rsidRPr="00C34564">
        <w:rPr>
          <w:rFonts w:cs="Times New Roman"/>
        </w:rPr>
        <w:t xml:space="preserve">С и </w:t>
      </w:r>
      <w:proofErr w:type="spellStart"/>
      <w:r w:rsidRPr="00C34564">
        <w:rPr>
          <w:rFonts w:cs="Times New Roman"/>
        </w:rPr>
        <w:t>влажности</w:t>
      </w:r>
      <w:proofErr w:type="spellEnd"/>
      <w:r w:rsidRPr="00C34564">
        <w:rPr>
          <w:rFonts w:cs="Times New Roman"/>
        </w:rPr>
        <w:t xml:space="preserve"> 40-50% </w:t>
      </w:r>
      <w:proofErr w:type="spellStart"/>
      <w:r w:rsidRPr="00C34564">
        <w:rPr>
          <w:rFonts w:cs="Times New Roman"/>
        </w:rPr>
        <w:t>до</w:t>
      </w:r>
      <w:proofErr w:type="spellEnd"/>
      <w:r w:rsidRPr="00C34564">
        <w:rPr>
          <w:rFonts w:cs="Times New Roman"/>
        </w:rPr>
        <w:t xml:space="preserve"> 5 </w:t>
      </w:r>
      <w:proofErr w:type="spellStart"/>
      <w:r w:rsidRPr="00C34564">
        <w:rPr>
          <w:rFonts w:cs="Times New Roman"/>
        </w:rPr>
        <w:t>дней</w:t>
      </w:r>
      <w:proofErr w:type="spellEnd"/>
      <w:r w:rsidRPr="00C34564">
        <w:rPr>
          <w:rFonts w:cs="Times New Roman"/>
        </w:rPr>
        <w:t xml:space="preserve"> (</w:t>
      </w:r>
      <w:proofErr w:type="spellStart"/>
      <w:r w:rsidRPr="00C34564">
        <w:rPr>
          <w:rFonts w:cs="Times New Roman"/>
        </w:rPr>
        <w:t>материалы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пресс-конференции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правительства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провинции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Хубей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от</w:t>
      </w:r>
      <w:proofErr w:type="spellEnd"/>
      <w:r w:rsidRPr="00C34564">
        <w:rPr>
          <w:rFonts w:cs="Times New Roman"/>
        </w:rPr>
        <w:t xml:space="preserve"> 03.02.20).</w:t>
      </w:r>
    </w:p>
    <w:p w:rsidR="0009369F" w:rsidRPr="00C34564" w:rsidRDefault="0009369F" w:rsidP="0009369F">
      <w:pPr>
        <w:adjustRightInd w:val="0"/>
        <w:spacing w:line="276" w:lineRule="auto"/>
        <w:ind w:firstLine="708"/>
        <w:contextualSpacing/>
        <w:jc w:val="both"/>
        <w:rPr>
          <w:rFonts w:cs="Times New Roman"/>
          <w:szCs w:val="28"/>
          <w:lang w:val="ru-RU"/>
        </w:rPr>
      </w:pPr>
      <w:proofErr w:type="spellStart"/>
      <w:r w:rsidRPr="00C34564">
        <w:rPr>
          <w:rFonts w:cs="Times New Roman"/>
        </w:rPr>
        <w:t>По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данным</w:t>
      </w:r>
      <w:proofErr w:type="spellEnd"/>
      <w:r w:rsidRPr="00C34564">
        <w:rPr>
          <w:rFonts w:cs="Times New Roman"/>
        </w:rPr>
        <w:t xml:space="preserve"> </w:t>
      </w:r>
      <w:r w:rsidRPr="00C34564">
        <w:rPr>
          <w:rFonts w:cs="Times New Roman"/>
          <w:lang w:val="ru-RU"/>
        </w:rPr>
        <w:t>Государственной Комиссии здравоохранения КНР</w:t>
      </w:r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более</w:t>
      </w:r>
      <w:proofErr w:type="spellEnd"/>
      <w:r w:rsidRPr="00C34564">
        <w:rPr>
          <w:rFonts w:cs="Times New Roman"/>
        </w:rPr>
        <w:t xml:space="preserve"> 83% </w:t>
      </w:r>
      <w:proofErr w:type="spellStart"/>
      <w:r w:rsidRPr="00C34564">
        <w:rPr>
          <w:rFonts w:cs="Times New Roman"/>
        </w:rPr>
        <w:t>массовых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заражений</w:t>
      </w:r>
      <w:proofErr w:type="spellEnd"/>
      <w:r w:rsidRPr="00C34564">
        <w:rPr>
          <w:rFonts w:cs="Times New Roman"/>
        </w:rPr>
        <w:t xml:space="preserve"> коронавирусом </w:t>
      </w:r>
      <w:proofErr w:type="spellStart"/>
      <w:r w:rsidRPr="00C34564">
        <w:rPr>
          <w:rFonts w:cs="Times New Roman"/>
        </w:rPr>
        <w:t>происходят</w:t>
      </w:r>
      <w:proofErr w:type="spellEnd"/>
      <w:r w:rsidRPr="00C34564">
        <w:rPr>
          <w:rFonts w:cs="Times New Roman"/>
        </w:rPr>
        <w:t xml:space="preserve"> </w:t>
      </w:r>
      <w:r w:rsidRPr="00C34564">
        <w:rPr>
          <w:rFonts w:cs="Times New Roman"/>
          <w:lang w:val="ru-RU"/>
        </w:rPr>
        <w:t xml:space="preserve">в результате тесных контактов без средств индивидуальной защиты </w:t>
      </w:r>
      <w:r w:rsidRPr="00C34564">
        <w:rPr>
          <w:rFonts w:cs="Times New Roman"/>
          <w:szCs w:val="28"/>
        </w:rPr>
        <w:t xml:space="preserve">– </w:t>
      </w:r>
      <w:r w:rsidRPr="00C34564">
        <w:rPr>
          <w:rFonts w:cs="Times New Roman"/>
          <w:szCs w:val="28"/>
          <w:lang w:val="ru-RU"/>
        </w:rPr>
        <w:t>среди</w:t>
      </w:r>
      <w:r w:rsidRPr="00C34564">
        <w:rPr>
          <w:rFonts w:cs="Times New Roman"/>
          <w:szCs w:val="28"/>
        </w:rPr>
        <w:t xml:space="preserve"> </w:t>
      </w:r>
      <w:proofErr w:type="spellStart"/>
      <w:r w:rsidRPr="00C34564">
        <w:rPr>
          <w:rFonts w:cs="Times New Roman"/>
          <w:szCs w:val="28"/>
        </w:rPr>
        <w:t>медицинск</w:t>
      </w:r>
      <w:proofErr w:type="spellEnd"/>
      <w:r w:rsidRPr="00C34564">
        <w:rPr>
          <w:rFonts w:cs="Times New Roman"/>
          <w:szCs w:val="28"/>
          <w:lang w:val="ru-RU"/>
        </w:rPr>
        <w:t>ого</w:t>
      </w:r>
      <w:r w:rsidRPr="00C34564">
        <w:rPr>
          <w:rFonts w:cs="Times New Roman"/>
          <w:szCs w:val="28"/>
        </w:rPr>
        <w:t xml:space="preserve"> </w:t>
      </w:r>
      <w:proofErr w:type="spellStart"/>
      <w:r w:rsidRPr="00C34564">
        <w:rPr>
          <w:rFonts w:cs="Times New Roman"/>
          <w:szCs w:val="28"/>
        </w:rPr>
        <w:t>персонал</w:t>
      </w:r>
      <w:proofErr w:type="spellEnd"/>
      <w:r w:rsidRPr="00C34564">
        <w:rPr>
          <w:rFonts w:cs="Times New Roman"/>
          <w:szCs w:val="28"/>
          <w:lang w:val="ru-RU"/>
        </w:rPr>
        <w:t>а, членов семьи больного</w:t>
      </w:r>
      <w:r w:rsidRPr="00C34564">
        <w:rPr>
          <w:rFonts w:cs="Times New Roman"/>
          <w:szCs w:val="28"/>
        </w:rPr>
        <w:t>.</w:t>
      </w:r>
    </w:p>
    <w:p w:rsidR="0009369F" w:rsidRPr="00C34564" w:rsidRDefault="0009369F" w:rsidP="0009369F">
      <w:pPr>
        <w:adjustRightInd w:val="0"/>
        <w:spacing w:line="276" w:lineRule="auto"/>
        <w:ind w:firstLine="708"/>
        <w:contextualSpacing/>
        <w:jc w:val="both"/>
        <w:rPr>
          <w:rFonts w:cs="Times New Roman"/>
          <w:highlight w:val="red"/>
          <w:lang w:val="ru-RU"/>
        </w:rPr>
      </w:pPr>
    </w:p>
    <w:p w:rsidR="0009369F" w:rsidRPr="004921D9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Инкубационный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период</w:t>
      </w:r>
      <w:proofErr w:type="spellEnd"/>
      <w:r w:rsidRPr="004921D9">
        <w:rPr>
          <w:rFonts w:cs="Times New Roman"/>
          <w:b/>
        </w:rPr>
        <w:t xml:space="preserve"> </w:t>
      </w:r>
    </w:p>
    <w:p w:rsidR="0023782C" w:rsidRDefault="0023782C" w:rsidP="0009369F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09369F" w:rsidRDefault="0023782C" w:rsidP="0009369F">
      <w:pPr>
        <w:spacing w:line="276" w:lineRule="auto"/>
        <w:rPr>
          <w:rFonts w:cs="Times New Roman"/>
          <w:lang w:val="ru-RU"/>
        </w:rPr>
      </w:pPr>
      <w:proofErr w:type="spellStart"/>
      <w:r w:rsidRPr="0023782C">
        <w:rPr>
          <w:rFonts w:cs="Times New Roman"/>
        </w:rPr>
        <w:t>Менее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чем</w:t>
      </w:r>
      <w:proofErr w:type="spellEnd"/>
      <w:r w:rsidRPr="0023782C">
        <w:rPr>
          <w:rFonts w:cs="Times New Roman"/>
        </w:rPr>
        <w:t xml:space="preserve"> у 2,5% </w:t>
      </w:r>
      <w:proofErr w:type="spellStart"/>
      <w:r w:rsidRPr="0023782C">
        <w:rPr>
          <w:rFonts w:cs="Times New Roman"/>
        </w:rPr>
        <w:t>инфицированных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людей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будут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проявляться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симптомы</w:t>
      </w:r>
      <w:proofErr w:type="spellEnd"/>
      <w:r w:rsidRPr="0023782C">
        <w:rPr>
          <w:rFonts w:cs="Times New Roman"/>
        </w:rPr>
        <w:t xml:space="preserve"> в </w:t>
      </w:r>
      <w:proofErr w:type="spellStart"/>
      <w:r w:rsidRPr="0023782C">
        <w:rPr>
          <w:rFonts w:cs="Times New Roman"/>
        </w:rPr>
        <w:t>течение</w:t>
      </w:r>
      <w:proofErr w:type="spellEnd"/>
      <w:r w:rsidRPr="0023782C">
        <w:rPr>
          <w:rFonts w:cs="Times New Roman"/>
        </w:rPr>
        <w:t xml:space="preserve"> 2,2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1,8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2,9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) </w:t>
      </w:r>
      <w:proofErr w:type="spellStart"/>
      <w:r w:rsidRPr="0023782C">
        <w:rPr>
          <w:rFonts w:cs="Times New Roman"/>
        </w:rPr>
        <w:t>после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заражения</w:t>
      </w:r>
      <w:proofErr w:type="spellEnd"/>
      <w:r w:rsidRPr="0023782C">
        <w:rPr>
          <w:rFonts w:cs="Times New Roman"/>
        </w:rPr>
        <w:t xml:space="preserve">, а </w:t>
      </w:r>
      <w:proofErr w:type="spellStart"/>
      <w:r w:rsidRPr="0023782C">
        <w:rPr>
          <w:rFonts w:cs="Times New Roman"/>
        </w:rPr>
        <w:t>появление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симптомов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наступит</w:t>
      </w:r>
      <w:proofErr w:type="spellEnd"/>
      <w:r w:rsidRPr="0023782C">
        <w:rPr>
          <w:rFonts w:cs="Times New Roman"/>
        </w:rPr>
        <w:t xml:space="preserve"> в </w:t>
      </w:r>
      <w:proofErr w:type="spellStart"/>
      <w:r w:rsidRPr="0023782C">
        <w:rPr>
          <w:rFonts w:cs="Times New Roman"/>
        </w:rPr>
        <w:t>течение</w:t>
      </w:r>
      <w:proofErr w:type="spellEnd"/>
      <w:r w:rsidRPr="0023782C">
        <w:rPr>
          <w:rFonts w:cs="Times New Roman"/>
        </w:rPr>
        <w:t xml:space="preserve"> 11,5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8,2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15,6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) у 97,5% </w:t>
      </w:r>
      <w:proofErr w:type="spellStart"/>
      <w:r w:rsidRPr="0023782C">
        <w:rPr>
          <w:rFonts w:cs="Times New Roman"/>
        </w:rPr>
        <w:t>инфицированных</w:t>
      </w:r>
      <w:proofErr w:type="spellEnd"/>
      <w:r w:rsidRPr="0023782C">
        <w:rPr>
          <w:rFonts w:cs="Times New Roman"/>
        </w:rPr>
        <w:t xml:space="preserve">. </w:t>
      </w:r>
      <w:proofErr w:type="spellStart"/>
      <w:r w:rsidRPr="0023782C">
        <w:rPr>
          <w:rFonts w:cs="Times New Roman"/>
        </w:rPr>
        <w:t>Оценка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параметра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дисперсии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составила</w:t>
      </w:r>
      <w:proofErr w:type="spellEnd"/>
      <w:r w:rsidRPr="0023782C">
        <w:rPr>
          <w:rFonts w:cs="Times New Roman"/>
        </w:rPr>
        <w:t xml:space="preserve"> 1,52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1,32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1,72), а </w:t>
      </w:r>
      <w:proofErr w:type="spellStart"/>
      <w:r w:rsidRPr="0023782C">
        <w:rPr>
          <w:rFonts w:cs="Times New Roman"/>
        </w:rPr>
        <w:t>расчетный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средний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инкубационный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период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составил</w:t>
      </w:r>
      <w:proofErr w:type="spellEnd"/>
      <w:r w:rsidRPr="0023782C">
        <w:rPr>
          <w:rFonts w:cs="Times New Roman"/>
        </w:rPr>
        <w:t xml:space="preserve"> 5,5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. </w:t>
      </w:r>
      <w:proofErr w:type="spellStart"/>
      <w:r w:rsidRPr="0023782C">
        <w:rPr>
          <w:rFonts w:cs="Times New Roman"/>
        </w:rPr>
        <w:t>Средний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период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появления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лихорадки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составляет</w:t>
      </w:r>
      <w:proofErr w:type="spellEnd"/>
      <w:r w:rsidRPr="0023782C">
        <w:rPr>
          <w:rFonts w:cs="Times New Roman"/>
        </w:rPr>
        <w:t xml:space="preserve"> 5,7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4,9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6,8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), </w:t>
      </w:r>
      <w:proofErr w:type="spellStart"/>
      <w:r w:rsidRPr="0023782C">
        <w:rPr>
          <w:rFonts w:cs="Times New Roman"/>
        </w:rPr>
        <w:t>при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этом</w:t>
      </w:r>
      <w:proofErr w:type="spellEnd"/>
      <w:r w:rsidRPr="0023782C">
        <w:rPr>
          <w:rFonts w:cs="Times New Roman"/>
        </w:rPr>
        <w:t xml:space="preserve"> у 2,5% </w:t>
      </w:r>
      <w:proofErr w:type="spellStart"/>
      <w:r w:rsidRPr="0023782C">
        <w:rPr>
          <w:rFonts w:cs="Times New Roman"/>
        </w:rPr>
        <w:t>людей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наблюдается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лихорадка</w:t>
      </w:r>
      <w:proofErr w:type="spellEnd"/>
      <w:r w:rsidRPr="0023782C">
        <w:rPr>
          <w:rFonts w:cs="Times New Roman"/>
        </w:rPr>
        <w:t xml:space="preserve"> в </w:t>
      </w:r>
      <w:proofErr w:type="spellStart"/>
      <w:r w:rsidRPr="0023782C">
        <w:rPr>
          <w:rFonts w:cs="Times New Roman"/>
        </w:rPr>
        <w:t>течение</w:t>
      </w:r>
      <w:proofErr w:type="spellEnd"/>
      <w:r w:rsidRPr="0023782C">
        <w:rPr>
          <w:rFonts w:cs="Times New Roman"/>
        </w:rPr>
        <w:t xml:space="preserve"> 2,6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 (</w:t>
      </w:r>
      <w:proofErr w:type="spellStart"/>
      <w:r w:rsidRPr="0023782C">
        <w:rPr>
          <w:rFonts w:cs="Times New Roman"/>
        </w:rPr>
        <w:t>при</w:t>
      </w:r>
      <w:proofErr w:type="spellEnd"/>
      <w:r w:rsidRPr="0023782C">
        <w:rPr>
          <w:rFonts w:cs="Times New Roman"/>
        </w:rPr>
        <w:t xml:space="preserve"> 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2,1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3,7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), а у 97,5% </w:t>
      </w:r>
      <w:proofErr w:type="spellStart"/>
      <w:r w:rsidRPr="0023782C">
        <w:rPr>
          <w:rFonts w:cs="Times New Roman"/>
        </w:rPr>
        <w:t>температура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поднимается</w:t>
      </w:r>
      <w:proofErr w:type="spellEnd"/>
      <w:r w:rsidRPr="0023782C">
        <w:rPr>
          <w:rFonts w:cs="Times New Roman"/>
        </w:rPr>
        <w:t xml:space="preserve"> в </w:t>
      </w:r>
      <w:proofErr w:type="spellStart"/>
      <w:r w:rsidRPr="0023782C">
        <w:rPr>
          <w:rFonts w:cs="Times New Roman"/>
        </w:rPr>
        <w:t>течение</w:t>
      </w:r>
      <w:proofErr w:type="spellEnd"/>
      <w:r w:rsidRPr="0023782C">
        <w:rPr>
          <w:rFonts w:cs="Times New Roman"/>
        </w:rPr>
        <w:t xml:space="preserve"> 12,5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8,2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17,7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) </w:t>
      </w:r>
      <w:proofErr w:type="spellStart"/>
      <w:r w:rsidRPr="0023782C">
        <w:rPr>
          <w:rFonts w:cs="Times New Roman"/>
        </w:rPr>
        <w:t>воздействия</w:t>
      </w:r>
      <w:proofErr w:type="spellEnd"/>
      <w:r w:rsidRPr="0023782C">
        <w:rPr>
          <w:rFonts w:cs="Times New Roman"/>
        </w:rPr>
        <w:t>.</w:t>
      </w:r>
    </w:p>
    <w:p w:rsidR="0023782C" w:rsidRPr="0023782C" w:rsidRDefault="0023782C" w:rsidP="0009369F">
      <w:pPr>
        <w:spacing w:line="276" w:lineRule="auto"/>
        <w:rPr>
          <w:rFonts w:cs="Times New Roman"/>
          <w:lang w:val="ru-RU"/>
        </w:rPr>
      </w:pPr>
    </w:p>
    <w:p w:rsidR="0009369F" w:rsidRPr="00C34564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b/>
        </w:rPr>
      </w:pPr>
      <w:proofErr w:type="spellStart"/>
      <w:r w:rsidRPr="00C34564">
        <w:rPr>
          <w:rFonts w:cs="Times New Roman"/>
          <w:b/>
        </w:rPr>
        <w:t>Клиническая</w:t>
      </w:r>
      <w:proofErr w:type="spellEnd"/>
      <w:r w:rsidRPr="00C34564">
        <w:rPr>
          <w:rFonts w:cs="Times New Roman"/>
          <w:b/>
        </w:rPr>
        <w:t xml:space="preserve"> </w:t>
      </w:r>
      <w:proofErr w:type="spellStart"/>
      <w:r w:rsidRPr="00C34564">
        <w:rPr>
          <w:rFonts w:cs="Times New Roman"/>
          <w:b/>
        </w:rPr>
        <w:t>картина</w:t>
      </w:r>
      <w:proofErr w:type="spellEnd"/>
    </w:p>
    <w:p w:rsidR="0009369F" w:rsidRPr="00C34564" w:rsidRDefault="0009369F" w:rsidP="0009369F">
      <w:pPr>
        <w:ind w:firstLine="708"/>
        <w:jc w:val="both"/>
        <w:rPr>
          <w:rFonts w:cs="Times New Roman"/>
          <w:lang w:val="ru-RU"/>
        </w:rPr>
      </w:pPr>
      <w:r w:rsidRPr="00C34564">
        <w:rPr>
          <w:rFonts w:cs="Times New Roman"/>
          <w:lang w:val="ru-RU"/>
        </w:rPr>
        <w:t>Повышение температуры отмечается у 33-68 % больных, кашель: 41-52 %, отделение мокроты: 7-32 %, усталость: 5-42 %, боль в горле: 7-14 %, стеснение в груди: 3-16 %, диарея: 3-7 %, тошнота: 0-3 %, ринит: 0-3 %.</w:t>
      </w:r>
    </w:p>
    <w:p w:rsidR="0009369F" w:rsidRPr="00C34564" w:rsidRDefault="0009369F" w:rsidP="0009369F">
      <w:pPr>
        <w:pStyle w:val="a6"/>
        <w:spacing w:line="276" w:lineRule="auto"/>
        <w:ind w:left="0" w:firstLine="708"/>
        <w:jc w:val="both"/>
        <w:rPr>
          <w:rFonts w:cs="Times New Roman"/>
        </w:rPr>
      </w:pPr>
      <w:proofErr w:type="spellStart"/>
      <w:r w:rsidRPr="00C34564">
        <w:rPr>
          <w:rFonts w:cs="Times New Roman"/>
        </w:rPr>
        <w:t>Ведущими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симптомами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остаются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повышение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температуры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тела</w:t>
      </w:r>
      <w:proofErr w:type="spellEnd"/>
      <w:r w:rsidRPr="00C34564">
        <w:rPr>
          <w:rFonts w:cs="Times New Roman"/>
        </w:rPr>
        <w:t xml:space="preserve"> (</w:t>
      </w:r>
      <w:proofErr w:type="spellStart"/>
      <w:r w:rsidRPr="00C34564">
        <w:rPr>
          <w:rFonts w:cs="Times New Roman"/>
        </w:rPr>
        <w:t>чаще</w:t>
      </w:r>
      <w:proofErr w:type="spellEnd"/>
      <w:r w:rsidRPr="00C34564">
        <w:rPr>
          <w:rFonts w:cs="Times New Roman"/>
        </w:rPr>
        <w:t xml:space="preserve"> 38-39</w:t>
      </w:r>
      <w:r w:rsidRPr="00C34564">
        <w:rPr>
          <w:rFonts w:cs="Times New Roman"/>
          <w:lang w:val="ru-RU"/>
        </w:rPr>
        <w:t xml:space="preserve"> </w:t>
      </w:r>
      <w:r w:rsidRPr="00C34564">
        <w:rPr>
          <w:rFonts w:cs="Times New Roman"/>
        </w:rPr>
        <w:t>° С)</w:t>
      </w:r>
      <w:r w:rsidRPr="00C34564">
        <w:rPr>
          <w:rFonts w:cs="Times New Roman"/>
          <w:lang w:val="ru-RU"/>
        </w:rPr>
        <w:t xml:space="preserve"> и кашель.</w:t>
      </w:r>
    </w:p>
    <w:p w:rsidR="0009369F" w:rsidRPr="003244BA" w:rsidRDefault="0009369F" w:rsidP="0009369F">
      <w:pPr>
        <w:pStyle w:val="a6"/>
        <w:spacing w:line="276" w:lineRule="auto"/>
        <w:ind w:left="0" w:firstLine="708"/>
        <w:rPr>
          <w:rFonts w:cs="Times New Roman"/>
        </w:rPr>
      </w:pPr>
      <w:proofErr w:type="spellStart"/>
      <w:r w:rsidRPr="00C34564">
        <w:rPr>
          <w:rFonts w:cs="Times New Roman"/>
        </w:rPr>
        <w:t>Средний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срок</w:t>
      </w:r>
      <w:proofErr w:type="spellEnd"/>
      <w:r w:rsidRPr="00C34564">
        <w:rPr>
          <w:rFonts w:cs="Times New Roman"/>
        </w:rPr>
        <w:t xml:space="preserve"> </w:t>
      </w:r>
      <w:r w:rsidRPr="00C34564">
        <w:rPr>
          <w:rFonts w:cs="Times New Roman"/>
          <w:lang w:val="ru-RU"/>
        </w:rPr>
        <w:t xml:space="preserve">от начала симптомов до </w:t>
      </w:r>
      <w:proofErr w:type="spellStart"/>
      <w:r w:rsidRPr="00C34564">
        <w:rPr>
          <w:rFonts w:cs="Times New Roman"/>
        </w:rPr>
        <w:t>госпитализации</w:t>
      </w:r>
      <w:proofErr w:type="spellEnd"/>
      <w:r w:rsidRPr="00C34564">
        <w:rPr>
          <w:rFonts w:cs="Times New Roman"/>
        </w:rPr>
        <w:t xml:space="preserve"> –</w:t>
      </w:r>
      <w:r w:rsidRPr="00C34564">
        <w:rPr>
          <w:rFonts w:cs="Times New Roman"/>
          <w:lang w:val="ru-RU"/>
        </w:rPr>
        <w:t xml:space="preserve"> от 12</w:t>
      </w:r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дней</w:t>
      </w:r>
      <w:proofErr w:type="spellEnd"/>
      <w:r w:rsidRPr="00C34564">
        <w:rPr>
          <w:rFonts w:cs="Times New Roman"/>
          <w:lang w:val="ru-RU"/>
        </w:rPr>
        <w:t xml:space="preserve"> (в начале</w:t>
      </w:r>
      <w:r>
        <w:rPr>
          <w:rFonts w:cs="Times New Roman"/>
          <w:lang w:val="ru-RU"/>
        </w:rPr>
        <w:t xml:space="preserve"> января 2020 г.) до 3 дней (в </w:t>
      </w:r>
      <w:proofErr w:type="spellStart"/>
      <w:r>
        <w:rPr>
          <w:rFonts w:cs="Times New Roman"/>
          <w:lang w:val="ru-RU"/>
        </w:rPr>
        <w:t>началае</w:t>
      </w:r>
      <w:proofErr w:type="spellEnd"/>
      <w:r>
        <w:rPr>
          <w:rFonts w:cs="Times New Roman"/>
          <w:lang w:val="ru-RU"/>
        </w:rPr>
        <w:t xml:space="preserve"> февраля 2020 г.), </w:t>
      </w:r>
      <w:proofErr w:type="spellStart"/>
      <w:r w:rsidRPr="00A275A2">
        <w:rPr>
          <w:rFonts w:cs="Times New Roman"/>
        </w:rPr>
        <w:t>по</w:t>
      </w:r>
      <w:proofErr w:type="spellEnd"/>
      <w:r w:rsidRPr="00A275A2">
        <w:rPr>
          <w:rFonts w:cs="Times New Roman"/>
        </w:rPr>
        <w:t xml:space="preserve"> </w:t>
      </w:r>
      <w:proofErr w:type="spellStart"/>
      <w:r w:rsidRPr="00A275A2">
        <w:rPr>
          <w:rFonts w:cs="Times New Roman"/>
        </w:rPr>
        <w:t>данным</w:t>
      </w:r>
      <w:proofErr w:type="spellEnd"/>
      <w:r w:rsidRPr="00A275A2">
        <w:rPr>
          <w:rFonts w:cs="Times New Roman"/>
        </w:rPr>
        <w:t xml:space="preserve"> ВОЗ.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09369F" w:rsidRPr="005E5593" w:rsidRDefault="0009369F" w:rsidP="0009369F">
      <w:pPr>
        <w:pStyle w:val="a6"/>
        <w:spacing w:line="276" w:lineRule="auto"/>
        <w:ind w:left="0" w:firstLine="708"/>
        <w:rPr>
          <w:rFonts w:cs="Times New Roman"/>
          <w:highlight w:val="red"/>
        </w:rPr>
      </w:pPr>
      <w:proofErr w:type="spellStart"/>
      <w:r w:rsidRPr="003244BA">
        <w:rPr>
          <w:rFonts w:cs="Times New Roman"/>
        </w:rPr>
        <w:t>Летальные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случаи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ассоциированы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возрастом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пациентов</w:t>
      </w:r>
      <w:proofErr w:type="spellEnd"/>
      <w:r w:rsidRPr="003244BA">
        <w:rPr>
          <w:rFonts w:cs="Times New Roman"/>
        </w:rPr>
        <w:t xml:space="preserve">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 xml:space="preserve">60 </w:t>
      </w:r>
      <w:proofErr w:type="spellStart"/>
      <w:r w:rsidRPr="003244BA">
        <w:rPr>
          <w:rFonts w:cs="Times New Roman"/>
        </w:rPr>
        <w:t>лет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как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правило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при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тяжелой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сопутствующей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патологии</w:t>
      </w:r>
      <w:proofErr w:type="spellEnd"/>
      <w:r w:rsidRPr="003244BA">
        <w:rPr>
          <w:rFonts w:cs="Times New Roman"/>
        </w:rPr>
        <w:t>.</w:t>
      </w:r>
      <w:r w:rsidRPr="003244BA">
        <w:rPr>
          <w:rFonts w:cs="Times New Roman"/>
          <w:lang w:val="ru-RU"/>
        </w:rPr>
        <w:t xml:space="preserve"> </w:t>
      </w:r>
      <w:proofErr w:type="spellStart"/>
      <w:r w:rsidRPr="003244BA">
        <w:rPr>
          <w:rFonts w:cs="Times New Roman"/>
        </w:rPr>
        <w:t>Доля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больных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тяжелым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клиническим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течением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составляет</w:t>
      </w:r>
      <w:proofErr w:type="spellEnd"/>
      <w:r w:rsidRPr="003244BA">
        <w:rPr>
          <w:rFonts w:cs="Times New Roman"/>
        </w:rPr>
        <w:t xml:space="preserve">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У детей заболевание протекает в более лёгкой форме.</w:t>
      </w:r>
    </w:p>
    <w:p w:rsidR="0009369F" w:rsidRDefault="0009369F" w:rsidP="0009369F">
      <w:pPr>
        <w:pStyle w:val="a6"/>
        <w:shd w:val="clear" w:color="auto" w:fill="FFFFFF"/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831787">
        <w:rPr>
          <w:rFonts w:cs="Times New Roman"/>
          <w:lang w:val="ru-RU"/>
        </w:rPr>
        <w:t xml:space="preserve">В КНР зафиксированы случаи, когда у выписанных пациентов с отрицательными результатами теста на </w:t>
      </w:r>
      <w:proofErr w:type="spellStart"/>
      <w:r w:rsidRPr="00831787">
        <w:rPr>
          <w:rFonts w:cs="Times New Roman"/>
          <w:lang w:val="ru-RU"/>
        </w:rPr>
        <w:t>коронавирус</w:t>
      </w:r>
      <w:proofErr w:type="spellEnd"/>
      <w:r w:rsidRPr="00831787">
        <w:rPr>
          <w:rFonts w:cs="Times New Roman"/>
          <w:lang w:val="ru-RU"/>
        </w:rPr>
        <w:t>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</w:t>
      </w:r>
      <w:r>
        <w:rPr>
          <w:rFonts w:cs="Times New Roman"/>
          <w:lang w:val="ru-RU"/>
        </w:rPr>
        <w:t>иве заболевания или реинфекции.</w:t>
      </w:r>
    </w:p>
    <w:p w:rsidR="0009369F" w:rsidRPr="00831787" w:rsidRDefault="0009369F" w:rsidP="0009369F">
      <w:pPr>
        <w:pStyle w:val="a6"/>
        <w:shd w:val="clear" w:color="auto" w:fill="FFFFFF"/>
        <w:spacing w:line="276" w:lineRule="auto"/>
        <w:ind w:left="0" w:firstLine="708"/>
        <w:jc w:val="both"/>
        <w:rPr>
          <w:rFonts w:cs="Times New Roman"/>
          <w:b/>
        </w:rPr>
      </w:pPr>
    </w:p>
    <w:p w:rsidR="0009369F" w:rsidRPr="00C34564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lang w:val="ru-RU"/>
        </w:rPr>
      </w:pPr>
      <w:proofErr w:type="spellStart"/>
      <w:r w:rsidRPr="004921D9">
        <w:rPr>
          <w:rFonts w:cs="Times New Roman"/>
          <w:b/>
        </w:rPr>
        <w:t>Лабораторная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диагностика</w:t>
      </w:r>
      <w:proofErr w:type="spellEnd"/>
    </w:p>
    <w:p w:rsidR="0009369F" w:rsidRPr="007759BE" w:rsidRDefault="0009369F" w:rsidP="0009369F">
      <w:pPr>
        <w:spacing w:line="276" w:lineRule="auto"/>
        <w:ind w:firstLine="708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</w:t>
      </w:r>
      <w:proofErr w:type="spellStart"/>
      <w:r w:rsidRPr="00831787">
        <w:rPr>
          <w:rFonts w:cs="Times New Roman"/>
        </w:rPr>
        <w:t>настоящее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время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имеется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информация</w:t>
      </w:r>
      <w:proofErr w:type="spellEnd"/>
      <w:r w:rsidRPr="00831787">
        <w:rPr>
          <w:rFonts w:cs="Times New Roman"/>
        </w:rPr>
        <w:t xml:space="preserve"> о </w:t>
      </w:r>
      <w:r>
        <w:rPr>
          <w:rFonts w:cs="Times New Roman"/>
          <w:lang w:val="ru-RU"/>
        </w:rPr>
        <w:t xml:space="preserve">разработке </w:t>
      </w:r>
      <w:proofErr w:type="spellStart"/>
      <w:r w:rsidRPr="00831787">
        <w:rPr>
          <w:rFonts w:cs="Times New Roman"/>
        </w:rPr>
        <w:t>тест-систем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для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выявления</w:t>
      </w:r>
      <w:proofErr w:type="spellEnd"/>
      <w:r w:rsidRPr="00831787">
        <w:rPr>
          <w:rFonts w:cs="Times New Roman"/>
        </w:rPr>
        <w:t xml:space="preserve"> РНК </w:t>
      </w:r>
      <w:proofErr w:type="spellStart"/>
      <w:r w:rsidRPr="00831787">
        <w:rPr>
          <w:rFonts w:cs="Times New Roman"/>
        </w:rPr>
        <w:t>вируса</w:t>
      </w:r>
      <w:proofErr w:type="spellEnd"/>
      <w:r w:rsidRPr="00831787">
        <w:rPr>
          <w:rFonts w:cs="Times New Roman"/>
        </w:rPr>
        <w:t xml:space="preserve"> 2019-nCoV </w:t>
      </w:r>
      <w:proofErr w:type="spellStart"/>
      <w:r w:rsidRPr="00831787">
        <w:rPr>
          <w:rFonts w:cs="Times New Roman"/>
        </w:rPr>
        <w:t>методом</w:t>
      </w:r>
      <w:proofErr w:type="spellEnd"/>
      <w:r w:rsidRPr="00831787">
        <w:rPr>
          <w:rFonts w:cs="Times New Roman"/>
        </w:rPr>
        <w:t xml:space="preserve"> ПЦР</w:t>
      </w:r>
      <w:r>
        <w:rPr>
          <w:rFonts w:cs="Times New Roman"/>
          <w:lang w:val="ru-RU"/>
        </w:rPr>
        <w:t xml:space="preserve"> в следующих организациях: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Pr="00831787">
        <w:rPr>
          <w:rFonts w:cs="Times New Roman"/>
        </w:rPr>
        <w:t>ГНЦ ВБ «</w:t>
      </w:r>
      <w:proofErr w:type="spellStart"/>
      <w:r w:rsidRPr="00831787">
        <w:rPr>
          <w:rFonts w:cs="Times New Roman"/>
        </w:rPr>
        <w:t>Вектор</w:t>
      </w:r>
      <w:proofErr w:type="spellEnd"/>
      <w:r>
        <w:rPr>
          <w:rFonts w:cs="Times New Roman"/>
          <w:lang w:val="ru-RU"/>
        </w:rPr>
        <w:t>» Роспотребнадзора (Россия)</w:t>
      </w:r>
    </w:p>
    <w:p w:rsidR="0009369F" w:rsidRPr="00831787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>
        <w:rPr>
          <w:rFonts w:cs="Times New Roman"/>
        </w:rPr>
        <w:t>CDC КНР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>
        <w:rPr>
          <w:rFonts w:cs="Times New Roman"/>
        </w:rPr>
        <w:t>CDC США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Pr="007759BE"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Университет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Гонконга</w:t>
      </w:r>
      <w:proofErr w:type="spellEnd"/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5) </w:t>
      </w:r>
      <w:r>
        <w:rPr>
          <w:rFonts w:cs="Times New Roman"/>
        </w:rPr>
        <w:t xml:space="preserve">«Altona </w:t>
      </w:r>
      <w:proofErr w:type="spellStart"/>
      <w:r>
        <w:rPr>
          <w:rFonts w:cs="Times New Roman"/>
        </w:rPr>
        <w:t>Diagnostics</w:t>
      </w:r>
      <w:proofErr w:type="spellEnd"/>
      <w:r>
        <w:rPr>
          <w:rFonts w:cs="Times New Roman"/>
        </w:rPr>
        <w:t>» (</w:t>
      </w:r>
      <w:proofErr w:type="spellStart"/>
      <w:r>
        <w:rPr>
          <w:rFonts w:cs="Times New Roman"/>
        </w:rPr>
        <w:t>Германия</w:t>
      </w:r>
      <w:proofErr w:type="spellEnd"/>
      <w:r>
        <w:rPr>
          <w:rFonts w:cs="Times New Roman"/>
        </w:rPr>
        <w:t>)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6) «BGI Group» (КНР)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7) </w:t>
      </w:r>
      <w:proofErr w:type="spellStart"/>
      <w:r w:rsidRPr="00831787">
        <w:rPr>
          <w:rFonts w:cs="Times New Roman"/>
        </w:rPr>
        <w:t>Гонконгский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Университет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науки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технологий</w:t>
      </w:r>
      <w:proofErr w:type="spellEnd"/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</w:t>
      </w:r>
      <w:proofErr w:type="spellStart"/>
      <w:r w:rsidRPr="00831787">
        <w:rPr>
          <w:rFonts w:cs="Times New Roman"/>
        </w:rPr>
        <w:t>Novacyt</w:t>
      </w:r>
      <w:proofErr w:type="spellEnd"/>
      <w:r w:rsidRPr="00831787">
        <w:rPr>
          <w:rFonts w:cs="Times New Roman"/>
        </w:rPr>
        <w:t>/</w:t>
      </w:r>
      <w:proofErr w:type="spellStart"/>
      <w:r w:rsidRPr="00831787">
        <w:rPr>
          <w:rFonts w:cs="Times New Roman"/>
        </w:rPr>
        <w:t>Primerdesign</w:t>
      </w:r>
      <w:proofErr w:type="spellEnd"/>
      <w:r w:rsidRPr="00831787">
        <w:rPr>
          <w:rFonts w:cs="Times New Roman"/>
        </w:rPr>
        <w:t>» (</w:t>
      </w:r>
      <w:proofErr w:type="spellStart"/>
      <w:r w:rsidRPr="00831787">
        <w:rPr>
          <w:rFonts w:cs="Times New Roman"/>
        </w:rPr>
        <w:t>Великоб</w:t>
      </w:r>
      <w:r>
        <w:rPr>
          <w:rFonts w:cs="Times New Roman"/>
        </w:rPr>
        <w:t>ритания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Франция</w:t>
      </w:r>
      <w:proofErr w:type="spellEnd"/>
      <w:r>
        <w:rPr>
          <w:rFonts w:cs="Times New Roman"/>
        </w:rPr>
        <w:t>)</w:t>
      </w:r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proofErr w:type="spellStart"/>
      <w:r>
        <w:rPr>
          <w:rFonts w:cs="Times New Roman"/>
        </w:rPr>
        <w:t>Thermo</w:t>
      </w:r>
      <w:proofErr w:type="spellEnd"/>
      <w:r>
        <w:rPr>
          <w:rFonts w:cs="Times New Roman"/>
        </w:rPr>
        <w:t xml:space="preserve"> Fisher Scientific» (США)</w:t>
      </w:r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</w:t>
      </w:r>
      <w:proofErr w:type="spellStart"/>
      <w:r>
        <w:rPr>
          <w:rFonts w:cs="Times New Roman"/>
        </w:rPr>
        <w:t>Qiagen</w:t>
      </w:r>
      <w:proofErr w:type="spellEnd"/>
      <w:r>
        <w:rPr>
          <w:rFonts w:cs="Times New Roman"/>
        </w:rPr>
        <w:t>» (</w:t>
      </w:r>
      <w:proofErr w:type="spellStart"/>
      <w:r>
        <w:rPr>
          <w:rFonts w:cs="Times New Roman"/>
        </w:rPr>
        <w:t>Германия</w:t>
      </w:r>
      <w:proofErr w:type="spellEnd"/>
      <w:r>
        <w:rPr>
          <w:rFonts w:cs="Times New Roman"/>
        </w:rPr>
        <w:t>)</w:t>
      </w:r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</w:t>
      </w:r>
      <w:proofErr w:type="spellStart"/>
      <w:r>
        <w:rPr>
          <w:rFonts w:cs="Times New Roman"/>
        </w:rPr>
        <w:t>Biomeme</w:t>
      </w:r>
      <w:proofErr w:type="spellEnd"/>
      <w:r>
        <w:rPr>
          <w:rFonts w:cs="Times New Roman"/>
        </w:rPr>
        <w:t>» (США)</w:t>
      </w:r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12) «TIB </w:t>
      </w:r>
      <w:proofErr w:type="spellStart"/>
      <w:r w:rsidRPr="00831787">
        <w:rPr>
          <w:rFonts w:cs="Times New Roman"/>
        </w:rPr>
        <w:t>Molbiol</w:t>
      </w:r>
      <w:proofErr w:type="spellEnd"/>
      <w:r w:rsidRPr="00831787">
        <w:rPr>
          <w:rFonts w:cs="Times New Roman"/>
        </w:rPr>
        <w:t>» (</w:t>
      </w:r>
      <w:proofErr w:type="spellStart"/>
      <w:r w:rsidRPr="00831787">
        <w:rPr>
          <w:rFonts w:cs="Times New Roman"/>
        </w:rPr>
        <w:t>Германия</w:t>
      </w:r>
      <w:proofErr w:type="spellEnd"/>
      <w:r w:rsidRPr="00831787">
        <w:rPr>
          <w:rFonts w:cs="Times New Roman"/>
        </w:rPr>
        <w:t>)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13) </w:t>
      </w:r>
      <w:r>
        <w:rPr>
          <w:rFonts w:cs="Times New Roman"/>
        </w:rPr>
        <w:t>«</w:t>
      </w:r>
      <w:proofErr w:type="spellStart"/>
      <w:r>
        <w:rPr>
          <w:rFonts w:cs="Times New Roman"/>
        </w:rPr>
        <w:t>Amoy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Diagnostics</w:t>
      </w:r>
      <w:proofErr w:type="spellEnd"/>
      <w:r>
        <w:rPr>
          <w:rFonts w:cs="Times New Roman"/>
        </w:rPr>
        <w:t>» (КНР)</w:t>
      </w:r>
      <w:r w:rsidRPr="00831787">
        <w:rPr>
          <w:rFonts w:cs="Times New Roman"/>
        </w:rPr>
        <w:t>.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</w:rPr>
      </w:pPr>
    </w:p>
    <w:p w:rsidR="0009369F" w:rsidRPr="004921D9" w:rsidRDefault="0009369F" w:rsidP="0009369F">
      <w:pPr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Согласно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сообщению</w:t>
      </w:r>
      <w:proofErr w:type="spellEnd"/>
      <w:r w:rsidRPr="004921D9">
        <w:rPr>
          <w:rFonts w:cs="Times New Roman"/>
        </w:rPr>
        <w:t xml:space="preserve"> ИА </w:t>
      </w:r>
      <w:proofErr w:type="spellStart"/>
      <w:r w:rsidRPr="004921D9">
        <w:rPr>
          <w:rFonts w:cs="Times New Roman"/>
          <w:lang w:val="en-US"/>
        </w:rPr>
        <w:t>Sina</w:t>
      </w:r>
      <w:proofErr w:type="spellEnd"/>
      <w:r w:rsidRPr="004921D9">
        <w:rPr>
          <w:rFonts w:cs="Times New Roman"/>
        </w:rPr>
        <w:t xml:space="preserve"> (КНР)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08.02.20</w:t>
      </w:r>
      <w:r>
        <w:rPr>
          <w:rFonts w:cs="Times New Roman"/>
          <w:lang w:val="ru-RU"/>
        </w:rPr>
        <w:t xml:space="preserve"> г.,</w:t>
      </w:r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китайские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врачи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отмечают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возможность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высокого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числа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ложноотрицательных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результатов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новый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По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оценке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академика</w:t>
      </w:r>
      <w:proofErr w:type="spellEnd"/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положительный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результат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лабораторном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регистрируется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только</w:t>
      </w:r>
      <w:proofErr w:type="spellEnd"/>
      <w:r w:rsidRPr="004921D9">
        <w:rPr>
          <w:rFonts w:cs="Times New Roman"/>
        </w:rPr>
        <w:t xml:space="preserve"> у 30-50%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истинного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числа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заболевших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Это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обусловлено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тем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что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вероятность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обнаружения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выше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всего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смывов</w:t>
      </w:r>
      <w:proofErr w:type="spellEnd"/>
      <w:r w:rsidRPr="004921D9">
        <w:rPr>
          <w:rFonts w:cs="Times New Roman"/>
        </w:rPr>
        <w:t xml:space="preserve"> с </w:t>
      </w:r>
      <w:proofErr w:type="spellStart"/>
      <w:r w:rsidRPr="004921D9">
        <w:rPr>
          <w:rFonts w:cs="Times New Roman"/>
        </w:rPr>
        <w:t>нижних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дыхательных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путей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меньше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мокроты</w:t>
      </w:r>
      <w:proofErr w:type="spellEnd"/>
      <w:r w:rsidRPr="004921D9">
        <w:rPr>
          <w:rFonts w:cs="Times New Roman"/>
        </w:rPr>
        <w:t xml:space="preserve"> и </w:t>
      </w:r>
      <w:proofErr w:type="spellStart"/>
      <w:r w:rsidRPr="004921D9">
        <w:rPr>
          <w:rFonts w:cs="Times New Roman"/>
        </w:rPr>
        <w:t>ниже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всего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мазков</w:t>
      </w:r>
      <w:proofErr w:type="spellEnd"/>
      <w:r w:rsidRPr="004921D9">
        <w:rPr>
          <w:rFonts w:cs="Times New Roman"/>
        </w:rPr>
        <w:t xml:space="preserve"> с </w:t>
      </w:r>
      <w:proofErr w:type="spellStart"/>
      <w:r w:rsidRPr="004921D9">
        <w:rPr>
          <w:rFonts w:cs="Times New Roman"/>
        </w:rPr>
        <w:t>глотки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Также</w:t>
      </w:r>
      <w:proofErr w:type="spellEnd"/>
      <w:r w:rsidRPr="004921D9">
        <w:rPr>
          <w:rFonts w:cs="Times New Roman"/>
        </w:rPr>
        <w:t xml:space="preserve"> в </w:t>
      </w:r>
      <w:proofErr w:type="spellStart"/>
      <w:r w:rsidRPr="004921D9">
        <w:rPr>
          <w:rFonts w:cs="Times New Roman"/>
        </w:rPr>
        <w:t>настоящее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время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из-за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повышенного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спроса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установлен</w:t>
      </w:r>
      <w:proofErr w:type="spellEnd"/>
      <w:r w:rsidRPr="004921D9">
        <w:rPr>
          <w:rFonts w:cs="Times New Roman"/>
        </w:rPr>
        <w:t xml:space="preserve"> «</w:t>
      </w:r>
      <w:proofErr w:type="spellStart"/>
      <w:r w:rsidRPr="004921D9">
        <w:rPr>
          <w:rFonts w:cs="Times New Roman"/>
        </w:rPr>
        <w:t>особый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порядок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подтверждения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качества</w:t>
      </w:r>
      <w:proofErr w:type="spellEnd"/>
      <w:r w:rsidRPr="004921D9">
        <w:rPr>
          <w:rFonts w:cs="Times New Roman"/>
        </w:rPr>
        <w:t xml:space="preserve">» </w:t>
      </w:r>
      <w:proofErr w:type="spellStart"/>
      <w:r w:rsidRPr="004921D9">
        <w:rPr>
          <w:rFonts w:cs="Times New Roman"/>
        </w:rPr>
        <w:t>для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диагностических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наборов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что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сказывается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чувствительности</w:t>
      </w:r>
      <w:proofErr w:type="spellEnd"/>
      <w:r w:rsidRPr="004921D9">
        <w:rPr>
          <w:rFonts w:cs="Times New Roman"/>
        </w:rPr>
        <w:t>.</w:t>
      </w:r>
      <w:r>
        <w:rPr>
          <w:rFonts w:cs="Times New Roman"/>
          <w:lang w:val="ru-RU"/>
        </w:rPr>
        <w:t xml:space="preserve"> </w:t>
      </w:r>
    </w:p>
    <w:p w:rsidR="0009369F" w:rsidRPr="004921D9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b/>
        </w:rPr>
      </w:pPr>
    </w:p>
    <w:p w:rsidR="0009369F" w:rsidRPr="003C111B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Лечение</w:t>
      </w:r>
      <w:proofErr w:type="spellEnd"/>
      <w:r>
        <w:rPr>
          <w:rFonts w:cs="Times New Roman"/>
          <w:b/>
          <w:lang w:val="ru-RU"/>
        </w:rPr>
        <w:t xml:space="preserve"> </w:t>
      </w:r>
    </w:p>
    <w:p w:rsidR="0009369F" w:rsidRPr="004921D9" w:rsidRDefault="0009369F" w:rsidP="0009369F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Этиотропная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терапия</w:t>
      </w:r>
      <w:proofErr w:type="spellEnd"/>
      <w:r w:rsidRPr="004921D9">
        <w:rPr>
          <w:rFonts w:cs="Times New Roman"/>
        </w:rPr>
        <w:t xml:space="preserve"> – </w:t>
      </w:r>
      <w:proofErr w:type="spellStart"/>
      <w:r w:rsidRPr="004921D9">
        <w:rPr>
          <w:rFonts w:cs="Times New Roman"/>
        </w:rPr>
        <w:t>отсутствует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используются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симптоматическая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терапия</w:t>
      </w:r>
      <w:proofErr w:type="spellEnd"/>
      <w:r w:rsidRPr="004921D9">
        <w:rPr>
          <w:rFonts w:cs="Times New Roman"/>
        </w:rPr>
        <w:t xml:space="preserve"> и </w:t>
      </w:r>
      <w:proofErr w:type="spellStart"/>
      <w:r w:rsidRPr="004921D9">
        <w:rPr>
          <w:rFonts w:cs="Times New Roman"/>
        </w:rPr>
        <w:t>препараты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против</w:t>
      </w:r>
      <w:proofErr w:type="spellEnd"/>
      <w:r w:rsidRPr="004921D9">
        <w:rPr>
          <w:rFonts w:cs="Times New Roman"/>
        </w:rPr>
        <w:t xml:space="preserve"> РНК-</w:t>
      </w:r>
      <w:proofErr w:type="spellStart"/>
      <w:r w:rsidRPr="004921D9">
        <w:rPr>
          <w:rFonts w:cs="Times New Roman"/>
        </w:rPr>
        <w:t>содержащих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вирусов</w:t>
      </w:r>
      <w:proofErr w:type="spellEnd"/>
      <w:r w:rsidRPr="004921D9">
        <w:rPr>
          <w:rFonts w:cs="Times New Roman"/>
        </w:rPr>
        <w:t>.</w:t>
      </w:r>
    </w:p>
    <w:p w:rsidR="0009369F" w:rsidRDefault="0009369F" w:rsidP="0009369F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130798">
        <w:rPr>
          <w:rFonts w:cs="Times New Roman"/>
        </w:rPr>
        <w:t>Изучаются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возможности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применения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противовирусных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средств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широкого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действия</w:t>
      </w:r>
      <w:proofErr w:type="spellEnd"/>
      <w:r w:rsidRPr="00130798">
        <w:rPr>
          <w:rFonts w:cs="Times New Roman"/>
        </w:rPr>
        <w:t xml:space="preserve">, </w:t>
      </w:r>
      <w:proofErr w:type="spellStart"/>
      <w:r w:rsidRPr="00130798">
        <w:rPr>
          <w:rFonts w:cs="Times New Roman"/>
        </w:rPr>
        <w:t>среди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которы</w:t>
      </w:r>
      <w:r>
        <w:rPr>
          <w:rFonts w:cs="Times New Roman"/>
        </w:rPr>
        <w:t>х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Р</w:t>
      </w:r>
      <w:proofErr w:type="spellStart"/>
      <w:r>
        <w:rPr>
          <w:rFonts w:cs="Times New Roman"/>
        </w:rPr>
        <w:t>емдесивир</w:t>
      </w:r>
      <w:proofErr w:type="spellEnd"/>
      <w:r w:rsidRPr="00130798">
        <w:rPr>
          <w:rFonts w:cs="Times New Roman"/>
        </w:rPr>
        <w:t xml:space="preserve">, </w:t>
      </w:r>
      <w:proofErr w:type="spellStart"/>
      <w:r w:rsidRPr="00130798">
        <w:rPr>
          <w:rFonts w:cs="Times New Roman"/>
        </w:rPr>
        <w:t>ингибиторы</w:t>
      </w:r>
      <w:proofErr w:type="spellEnd"/>
      <w:r w:rsidRPr="00130798">
        <w:rPr>
          <w:rFonts w:cs="Times New Roman"/>
        </w:rPr>
        <w:t xml:space="preserve"> РНК-</w:t>
      </w:r>
      <w:proofErr w:type="spellStart"/>
      <w:r w:rsidRPr="00130798">
        <w:rPr>
          <w:rFonts w:cs="Times New Roman"/>
        </w:rPr>
        <w:t>полимеразы</w:t>
      </w:r>
      <w:proofErr w:type="spellEnd"/>
      <w:r w:rsidRPr="00130798">
        <w:rPr>
          <w:rFonts w:cs="Times New Roman"/>
        </w:rPr>
        <w:t xml:space="preserve">, </w:t>
      </w:r>
      <w:r>
        <w:rPr>
          <w:rFonts w:cs="Times New Roman"/>
          <w:lang w:val="ru-RU"/>
        </w:rPr>
        <w:t>Л</w:t>
      </w:r>
      <w:proofErr w:type="spellStart"/>
      <w:r w:rsidRPr="00130798">
        <w:rPr>
          <w:rFonts w:cs="Times New Roman"/>
        </w:rPr>
        <w:t>опинавир</w:t>
      </w:r>
      <w:proofErr w:type="spellEnd"/>
      <w:r w:rsidRPr="00130798">
        <w:rPr>
          <w:rFonts w:cs="Times New Roman"/>
        </w:rPr>
        <w:t xml:space="preserve"> и </w:t>
      </w:r>
      <w:r>
        <w:rPr>
          <w:rFonts w:cs="Times New Roman"/>
          <w:lang w:val="ru-RU"/>
        </w:rPr>
        <w:t>Р</w:t>
      </w:r>
      <w:proofErr w:type="spellStart"/>
      <w:r w:rsidRPr="00130798">
        <w:rPr>
          <w:rFonts w:cs="Times New Roman"/>
        </w:rPr>
        <w:t>итонавир</w:t>
      </w:r>
      <w:proofErr w:type="spellEnd"/>
      <w:r w:rsidRPr="00130798">
        <w:rPr>
          <w:rFonts w:cs="Times New Roman"/>
        </w:rPr>
        <w:t xml:space="preserve"> и </w:t>
      </w:r>
      <w:r>
        <w:rPr>
          <w:rFonts w:cs="Times New Roman"/>
          <w:lang w:val="ru-RU"/>
        </w:rPr>
        <w:t>И</w:t>
      </w:r>
      <w:proofErr w:type="spellStart"/>
      <w:r w:rsidRPr="00130798">
        <w:rPr>
          <w:rFonts w:cs="Times New Roman"/>
        </w:rPr>
        <w:t>нтерферон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130798">
        <w:rPr>
          <w:rFonts w:cs="Times New Roman"/>
        </w:rPr>
        <w:t>бета</w:t>
      </w:r>
      <w:proofErr w:type="spellEnd"/>
      <w:r w:rsidRPr="00130798">
        <w:rPr>
          <w:rFonts w:cs="Times New Roman"/>
        </w:rPr>
        <w:t xml:space="preserve">. </w:t>
      </w:r>
    </w:p>
    <w:p w:rsidR="0009369F" w:rsidRPr="004921D9" w:rsidRDefault="0009369F" w:rsidP="0009369F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Министерство</w:t>
      </w:r>
      <w:proofErr w:type="spellEnd"/>
      <w:r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</w:t>
      </w:r>
      <w:proofErr w:type="spellStart"/>
      <w:r w:rsidRPr="004921D9">
        <w:rPr>
          <w:rFonts w:cs="Times New Roman"/>
        </w:rPr>
        <w:t>качестве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этиотропной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рекомендовало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использовать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препараты</w:t>
      </w:r>
      <w:proofErr w:type="spellEnd"/>
      <w:r w:rsidRPr="004921D9">
        <w:rPr>
          <w:rFonts w:cs="Times New Roman"/>
        </w:rPr>
        <w:t xml:space="preserve">: </w:t>
      </w:r>
      <w:proofErr w:type="spellStart"/>
      <w:r w:rsidRPr="004921D9">
        <w:rPr>
          <w:rFonts w:cs="Times New Roman"/>
        </w:rPr>
        <w:t>рибавирин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рекомбинантный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интерферон</w:t>
      </w:r>
      <w:proofErr w:type="spellEnd"/>
      <w:r w:rsidRPr="004921D9">
        <w:rPr>
          <w:rFonts w:cs="Times New Roman"/>
        </w:rPr>
        <w:t xml:space="preserve"> бета-1b и </w:t>
      </w:r>
      <w:proofErr w:type="spellStart"/>
      <w:r w:rsidRPr="004921D9">
        <w:rPr>
          <w:rFonts w:cs="Times New Roman"/>
        </w:rPr>
        <w:t>лопинавир</w:t>
      </w:r>
      <w:proofErr w:type="spellEnd"/>
      <w:r w:rsidRPr="004921D9">
        <w:rPr>
          <w:rFonts w:cs="Times New Roman"/>
        </w:rPr>
        <w:t>/</w:t>
      </w:r>
      <w:proofErr w:type="spellStart"/>
      <w:r w:rsidRPr="004921D9">
        <w:rPr>
          <w:rFonts w:cs="Times New Roman"/>
        </w:rPr>
        <w:t>ритонавир</w:t>
      </w:r>
      <w:proofErr w:type="spellEnd"/>
      <w:r w:rsidRPr="004921D9">
        <w:rPr>
          <w:rFonts w:cs="Times New Roman"/>
        </w:rPr>
        <w:t>.</w:t>
      </w:r>
    </w:p>
    <w:p w:rsidR="0009369F" w:rsidRDefault="0009369F" w:rsidP="0009369F">
      <w:pPr>
        <w:shd w:val="clear" w:color="auto" w:fill="FFFFFF"/>
        <w:spacing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sectPr w:rsidR="0009369F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21"/>
  </w:num>
  <w:num w:numId="13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7"/>
  </w:num>
  <w:num w:numId="16">
    <w:abstractNumId w:val="12"/>
  </w:num>
  <w:num w:numId="17">
    <w:abstractNumId w:val="24"/>
  </w:num>
  <w:num w:numId="18">
    <w:abstractNumId w:val="6"/>
  </w:num>
  <w:num w:numId="19">
    <w:abstractNumId w:val="0"/>
  </w:num>
  <w:num w:numId="20">
    <w:abstractNumId w:val="19"/>
  </w:num>
  <w:num w:numId="21">
    <w:abstractNumId w:val="2"/>
  </w:num>
  <w:num w:numId="22">
    <w:abstractNumId w:val="11"/>
  </w:num>
  <w:num w:numId="23">
    <w:abstractNumId w:val="15"/>
  </w:num>
  <w:num w:numId="24">
    <w:abstractNumId w:val="14"/>
  </w:num>
  <w:num w:numId="25">
    <w:abstractNumId w:val="23"/>
  </w:num>
  <w:num w:numId="26">
    <w:abstractNumId w:val="22"/>
  </w:num>
  <w:num w:numId="27">
    <w:abstractNumId w:val="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2725E"/>
    <w:rsid w:val="000315DF"/>
    <w:rsid w:val="00033A55"/>
    <w:rsid w:val="00052F9B"/>
    <w:rsid w:val="00067FB5"/>
    <w:rsid w:val="00077791"/>
    <w:rsid w:val="00081163"/>
    <w:rsid w:val="000907D0"/>
    <w:rsid w:val="0009369F"/>
    <w:rsid w:val="000A189A"/>
    <w:rsid w:val="000A5EBE"/>
    <w:rsid w:val="000B1401"/>
    <w:rsid w:val="000B1738"/>
    <w:rsid w:val="000B6BDB"/>
    <w:rsid w:val="000D1C55"/>
    <w:rsid w:val="000F0583"/>
    <w:rsid w:val="000F14DD"/>
    <w:rsid w:val="00101878"/>
    <w:rsid w:val="00130FC8"/>
    <w:rsid w:val="001435E7"/>
    <w:rsid w:val="00150759"/>
    <w:rsid w:val="0015646A"/>
    <w:rsid w:val="001604A9"/>
    <w:rsid w:val="001658A4"/>
    <w:rsid w:val="001666BF"/>
    <w:rsid w:val="00167B03"/>
    <w:rsid w:val="001903E4"/>
    <w:rsid w:val="001A2E33"/>
    <w:rsid w:val="001A2F0D"/>
    <w:rsid w:val="001A5064"/>
    <w:rsid w:val="001B6B61"/>
    <w:rsid w:val="001B7483"/>
    <w:rsid w:val="001D403D"/>
    <w:rsid w:val="001F5A64"/>
    <w:rsid w:val="0020685F"/>
    <w:rsid w:val="00207B64"/>
    <w:rsid w:val="00210628"/>
    <w:rsid w:val="002139D4"/>
    <w:rsid w:val="00220D3A"/>
    <w:rsid w:val="00224A91"/>
    <w:rsid w:val="0023049E"/>
    <w:rsid w:val="00233EB8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759D"/>
    <w:rsid w:val="002821B8"/>
    <w:rsid w:val="0028484C"/>
    <w:rsid w:val="00295DD1"/>
    <w:rsid w:val="00295E30"/>
    <w:rsid w:val="00296252"/>
    <w:rsid w:val="002A48CB"/>
    <w:rsid w:val="002A581B"/>
    <w:rsid w:val="002C03B3"/>
    <w:rsid w:val="002C1C42"/>
    <w:rsid w:val="002D6AAE"/>
    <w:rsid w:val="002E1F20"/>
    <w:rsid w:val="002E2670"/>
    <w:rsid w:val="002F0E58"/>
    <w:rsid w:val="002F2E76"/>
    <w:rsid w:val="002F68EB"/>
    <w:rsid w:val="0031134E"/>
    <w:rsid w:val="00313FAE"/>
    <w:rsid w:val="00320231"/>
    <w:rsid w:val="003550BE"/>
    <w:rsid w:val="00357353"/>
    <w:rsid w:val="0036423A"/>
    <w:rsid w:val="00365794"/>
    <w:rsid w:val="00366A2A"/>
    <w:rsid w:val="003720B7"/>
    <w:rsid w:val="0037778B"/>
    <w:rsid w:val="00391C6F"/>
    <w:rsid w:val="003A1B22"/>
    <w:rsid w:val="003A379D"/>
    <w:rsid w:val="003A4741"/>
    <w:rsid w:val="003C375D"/>
    <w:rsid w:val="003C4EE8"/>
    <w:rsid w:val="003E072C"/>
    <w:rsid w:val="003E0A77"/>
    <w:rsid w:val="003E6FEA"/>
    <w:rsid w:val="003F1C66"/>
    <w:rsid w:val="00403435"/>
    <w:rsid w:val="00405A62"/>
    <w:rsid w:val="00414E44"/>
    <w:rsid w:val="0046069E"/>
    <w:rsid w:val="00471290"/>
    <w:rsid w:val="00484FDA"/>
    <w:rsid w:val="0048581E"/>
    <w:rsid w:val="004A2C93"/>
    <w:rsid w:val="004A524F"/>
    <w:rsid w:val="004B2DC9"/>
    <w:rsid w:val="004B60A5"/>
    <w:rsid w:val="004C2412"/>
    <w:rsid w:val="004C6018"/>
    <w:rsid w:val="004D7BCD"/>
    <w:rsid w:val="004E300C"/>
    <w:rsid w:val="004E666D"/>
    <w:rsid w:val="00506900"/>
    <w:rsid w:val="00506CED"/>
    <w:rsid w:val="00510702"/>
    <w:rsid w:val="00513D00"/>
    <w:rsid w:val="00513EEE"/>
    <w:rsid w:val="005276D8"/>
    <w:rsid w:val="00527B6B"/>
    <w:rsid w:val="00543039"/>
    <w:rsid w:val="005550FB"/>
    <w:rsid w:val="00560D2D"/>
    <w:rsid w:val="00584753"/>
    <w:rsid w:val="005848FB"/>
    <w:rsid w:val="00592276"/>
    <w:rsid w:val="005938F8"/>
    <w:rsid w:val="00593916"/>
    <w:rsid w:val="005A1441"/>
    <w:rsid w:val="005B1441"/>
    <w:rsid w:val="005C64E6"/>
    <w:rsid w:val="005F280C"/>
    <w:rsid w:val="005F3E92"/>
    <w:rsid w:val="00611CE3"/>
    <w:rsid w:val="006235D6"/>
    <w:rsid w:val="00634568"/>
    <w:rsid w:val="00635B94"/>
    <w:rsid w:val="0063776E"/>
    <w:rsid w:val="00642870"/>
    <w:rsid w:val="006530FE"/>
    <w:rsid w:val="006626C2"/>
    <w:rsid w:val="006659F8"/>
    <w:rsid w:val="006860F4"/>
    <w:rsid w:val="00686179"/>
    <w:rsid w:val="006A1179"/>
    <w:rsid w:val="006C3E78"/>
    <w:rsid w:val="006D0962"/>
    <w:rsid w:val="006E5002"/>
    <w:rsid w:val="006E76E1"/>
    <w:rsid w:val="006F17AF"/>
    <w:rsid w:val="006F238F"/>
    <w:rsid w:val="006F6261"/>
    <w:rsid w:val="007068BF"/>
    <w:rsid w:val="00710A4D"/>
    <w:rsid w:val="00714952"/>
    <w:rsid w:val="00717760"/>
    <w:rsid w:val="00724FBD"/>
    <w:rsid w:val="0073697B"/>
    <w:rsid w:val="00740E66"/>
    <w:rsid w:val="0074470F"/>
    <w:rsid w:val="00754B69"/>
    <w:rsid w:val="007759BE"/>
    <w:rsid w:val="0078249C"/>
    <w:rsid w:val="007932E7"/>
    <w:rsid w:val="007A7CB9"/>
    <w:rsid w:val="007C5907"/>
    <w:rsid w:val="007D163F"/>
    <w:rsid w:val="007E3CB6"/>
    <w:rsid w:val="007F5E09"/>
    <w:rsid w:val="007F7425"/>
    <w:rsid w:val="00802E61"/>
    <w:rsid w:val="00824A7A"/>
    <w:rsid w:val="00831787"/>
    <w:rsid w:val="0083238B"/>
    <w:rsid w:val="0083436C"/>
    <w:rsid w:val="00834560"/>
    <w:rsid w:val="00841AE6"/>
    <w:rsid w:val="00872A97"/>
    <w:rsid w:val="0088662F"/>
    <w:rsid w:val="00887555"/>
    <w:rsid w:val="008926B2"/>
    <w:rsid w:val="008A40FA"/>
    <w:rsid w:val="008D021B"/>
    <w:rsid w:val="008E3E21"/>
    <w:rsid w:val="0091180C"/>
    <w:rsid w:val="00911F5C"/>
    <w:rsid w:val="00921B14"/>
    <w:rsid w:val="009250F7"/>
    <w:rsid w:val="00936F22"/>
    <w:rsid w:val="009470C8"/>
    <w:rsid w:val="009472E7"/>
    <w:rsid w:val="00967367"/>
    <w:rsid w:val="0097469B"/>
    <w:rsid w:val="00990D79"/>
    <w:rsid w:val="009A1190"/>
    <w:rsid w:val="009A402B"/>
    <w:rsid w:val="009C3DA9"/>
    <w:rsid w:val="009E11D9"/>
    <w:rsid w:val="009E4BAF"/>
    <w:rsid w:val="009F14BC"/>
    <w:rsid w:val="009F1747"/>
    <w:rsid w:val="009F5C22"/>
    <w:rsid w:val="00A00538"/>
    <w:rsid w:val="00A02174"/>
    <w:rsid w:val="00A275A2"/>
    <w:rsid w:val="00A304AB"/>
    <w:rsid w:val="00A31FC8"/>
    <w:rsid w:val="00A6124D"/>
    <w:rsid w:val="00A673D4"/>
    <w:rsid w:val="00A73643"/>
    <w:rsid w:val="00A74AE6"/>
    <w:rsid w:val="00A754AE"/>
    <w:rsid w:val="00A963E8"/>
    <w:rsid w:val="00AA5000"/>
    <w:rsid w:val="00AD4670"/>
    <w:rsid w:val="00AD4D58"/>
    <w:rsid w:val="00AE597B"/>
    <w:rsid w:val="00AF1392"/>
    <w:rsid w:val="00AF32C9"/>
    <w:rsid w:val="00AF6C1A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56B4"/>
    <w:rsid w:val="00B657F5"/>
    <w:rsid w:val="00B679C4"/>
    <w:rsid w:val="00B7270F"/>
    <w:rsid w:val="00B7529F"/>
    <w:rsid w:val="00B80D17"/>
    <w:rsid w:val="00B9243C"/>
    <w:rsid w:val="00BA636B"/>
    <w:rsid w:val="00BC011F"/>
    <w:rsid w:val="00BC0E00"/>
    <w:rsid w:val="00BC3698"/>
    <w:rsid w:val="00BC44AB"/>
    <w:rsid w:val="00BD3F50"/>
    <w:rsid w:val="00BD4E16"/>
    <w:rsid w:val="00BE3CAC"/>
    <w:rsid w:val="00C1207D"/>
    <w:rsid w:val="00C13B78"/>
    <w:rsid w:val="00C16001"/>
    <w:rsid w:val="00C31363"/>
    <w:rsid w:val="00C3444E"/>
    <w:rsid w:val="00C46DFA"/>
    <w:rsid w:val="00C5066A"/>
    <w:rsid w:val="00C52B85"/>
    <w:rsid w:val="00C5781C"/>
    <w:rsid w:val="00C7659E"/>
    <w:rsid w:val="00C767F8"/>
    <w:rsid w:val="00CB2E32"/>
    <w:rsid w:val="00CB5AFD"/>
    <w:rsid w:val="00CC335F"/>
    <w:rsid w:val="00CE409F"/>
    <w:rsid w:val="00CE657D"/>
    <w:rsid w:val="00D03964"/>
    <w:rsid w:val="00D308DE"/>
    <w:rsid w:val="00D325C9"/>
    <w:rsid w:val="00D36956"/>
    <w:rsid w:val="00D37196"/>
    <w:rsid w:val="00D40A1D"/>
    <w:rsid w:val="00D42B5F"/>
    <w:rsid w:val="00D43580"/>
    <w:rsid w:val="00D45127"/>
    <w:rsid w:val="00D46B38"/>
    <w:rsid w:val="00D47789"/>
    <w:rsid w:val="00D637CE"/>
    <w:rsid w:val="00D74063"/>
    <w:rsid w:val="00D915DD"/>
    <w:rsid w:val="00D9614E"/>
    <w:rsid w:val="00DB0242"/>
    <w:rsid w:val="00DB69E3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54B15"/>
    <w:rsid w:val="00E60A03"/>
    <w:rsid w:val="00E624CE"/>
    <w:rsid w:val="00E7254B"/>
    <w:rsid w:val="00E75737"/>
    <w:rsid w:val="00E77491"/>
    <w:rsid w:val="00E83E3A"/>
    <w:rsid w:val="00E84184"/>
    <w:rsid w:val="00E94D98"/>
    <w:rsid w:val="00EA0A01"/>
    <w:rsid w:val="00ED1A2C"/>
    <w:rsid w:val="00ED651F"/>
    <w:rsid w:val="00EE3CAE"/>
    <w:rsid w:val="00EE5B22"/>
    <w:rsid w:val="00F07FA3"/>
    <w:rsid w:val="00F13834"/>
    <w:rsid w:val="00F2217A"/>
    <w:rsid w:val="00F25CA6"/>
    <w:rsid w:val="00F26E38"/>
    <w:rsid w:val="00F320D5"/>
    <w:rsid w:val="00F35126"/>
    <w:rsid w:val="00F435E2"/>
    <w:rsid w:val="00F60993"/>
    <w:rsid w:val="00F650EC"/>
    <w:rsid w:val="00F669E7"/>
    <w:rsid w:val="00F77C89"/>
    <w:rsid w:val="00F801CC"/>
    <w:rsid w:val="00F8132F"/>
    <w:rsid w:val="00F87DD1"/>
    <w:rsid w:val="00F92544"/>
    <w:rsid w:val="00F946D7"/>
    <w:rsid w:val="00FB4AB4"/>
    <w:rsid w:val="00FB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5616D-F990-459C-AC86-B96D5944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Skudareva_ON</cp:lastModifiedBy>
  <cp:revision>3</cp:revision>
  <cp:lastPrinted>2020-03-03T04:16:00Z</cp:lastPrinted>
  <dcterms:created xsi:type="dcterms:W3CDTF">2020-03-16T10:30:00Z</dcterms:created>
  <dcterms:modified xsi:type="dcterms:W3CDTF">2020-03-16T10:31:00Z</dcterms:modified>
</cp:coreProperties>
</file>