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CB5234">
        <w:rPr>
          <w:rFonts w:cs="Times New Roman"/>
          <w:b/>
          <w:lang w:val="ru-RU"/>
        </w:rPr>
        <w:t>19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CB5234" w:rsidRPr="00CB5234" w:rsidRDefault="00CB5234" w:rsidP="00CB5234">
      <w:pPr>
        <w:pStyle w:val="a6"/>
        <w:numPr>
          <w:ilvl w:val="0"/>
          <w:numId w:val="50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CB5234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CB5234">
        <w:rPr>
          <w:rFonts w:cs="Times New Roman"/>
          <w:lang w:val="ru-RU"/>
        </w:rPr>
        <w:t>мск</w:t>
      </w:r>
      <w:proofErr w:type="spellEnd"/>
      <w:r w:rsidRPr="00CB5234">
        <w:rPr>
          <w:rFonts w:cs="Times New Roman"/>
          <w:lang w:val="ru-RU"/>
        </w:rPr>
        <w:t xml:space="preserve"> 19.04.2020 г. из доступных источников известно о 2329967 подтверждённых случаях (прирост за сутки 79166 случаев; 3,5%). В 181 странах мира вне КНР зарегистрировано 2245766 случаев (за последние сутки прирост 79145; 3,7%).</w:t>
      </w:r>
    </w:p>
    <w:p w:rsidR="00D37D73" w:rsidRDefault="00CB5234" w:rsidP="00CB5234">
      <w:pPr>
        <w:pStyle w:val="a6"/>
        <w:numPr>
          <w:ilvl w:val="0"/>
          <w:numId w:val="50"/>
        </w:numPr>
        <w:spacing w:line="276" w:lineRule="auto"/>
        <w:ind w:left="567"/>
        <w:jc w:val="both"/>
        <w:rPr>
          <w:rFonts w:cs="Times New Roman"/>
          <w:lang w:val="ru-RU"/>
        </w:rPr>
      </w:pPr>
      <w:r w:rsidRPr="00CB5234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18.04.2020 г. (19.00 по </w:t>
      </w:r>
      <w:proofErr w:type="spellStart"/>
      <w:r w:rsidRPr="00CB5234">
        <w:rPr>
          <w:rFonts w:cs="Times New Roman"/>
          <w:lang w:val="ru-RU"/>
        </w:rPr>
        <w:t>мск</w:t>
      </w:r>
      <w:proofErr w:type="spellEnd"/>
      <w:r w:rsidRPr="00CB5234">
        <w:rPr>
          <w:rFonts w:cs="Times New Roman"/>
          <w:lang w:val="ru-RU"/>
        </w:rPr>
        <w:t>) в целом в КНР зарегистрировано случаев заболевания – 84201. За сутки с 00.00 18.04.2020 по 00.00 (время Пекина) 19.04.2020 г. прирост составил 21 случаев (0,02%). Случаев с летальным исходом – 4642 (летальность 5,5%).</w:t>
      </w:r>
    </w:p>
    <w:p w:rsidR="00CB5234" w:rsidRPr="00F65D9D" w:rsidRDefault="00CB5234" w:rsidP="00CB5234">
      <w:pPr>
        <w:pStyle w:val="a6"/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CB5234" w:rsidRPr="007E6987" w:rsidTr="00CB523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B5234" w:rsidRPr="007E6987" w:rsidRDefault="00CB5234" w:rsidP="00CB523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CB5234" w:rsidRPr="007E6987" w:rsidTr="00CB523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B5234" w:rsidRPr="007E6987" w:rsidRDefault="00CB5234" w:rsidP="00CB52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84201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21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0,02%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4642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CB5234" w:rsidRPr="007E6987" w:rsidTr="00CB523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B5234" w:rsidRPr="007E6987" w:rsidRDefault="00CB5234" w:rsidP="00CB52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2245766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79145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155425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5928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  <w:tr w:rsidR="00CB5234" w:rsidRPr="007E6987" w:rsidTr="00CB5234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CB5234" w:rsidRPr="007E6987" w:rsidRDefault="00CB5234" w:rsidP="00CB52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2329967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79166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160067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5928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CB5234" w:rsidRPr="007E6987" w:rsidRDefault="00B26983" w:rsidP="00CB52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CB5234" w:rsidRPr="00E22EAC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167B03" w:rsidRDefault="00167B03" w:rsidP="00B657F5">
      <w:pPr>
        <w:jc w:val="both"/>
        <w:rPr>
          <w:lang w:val="ru-RU"/>
        </w:rPr>
      </w:pPr>
    </w:p>
    <w:p w:rsidR="00CB5234" w:rsidRPr="00167B03" w:rsidRDefault="00CB5234" w:rsidP="00B657F5">
      <w:pPr>
        <w:jc w:val="both"/>
        <w:rPr>
          <w:rFonts w:cs="Times New Roman"/>
          <w:lang w:val="ru-RU"/>
        </w:rPr>
      </w:pPr>
    </w:p>
    <w:p w:rsidR="00A304AB" w:rsidRPr="00AA5000" w:rsidRDefault="00244308" w:rsidP="00AA5000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CE68A4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B5234" w:rsidRPr="00D37D73" w:rsidRDefault="00CB5234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16365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B5234" w:rsidRPr="00EA5031" w:rsidRDefault="00CB5234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19323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143724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4538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175925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23227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114217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194416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20639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36793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37183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31589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19685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8742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82329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3783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1615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739582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29739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38381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Default="00CB5234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Pr="00EA5031" w:rsidRDefault="00CB523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A5031" w:rsidRDefault="00CB5234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CB5234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234" w:rsidRDefault="00CB52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234" w:rsidRPr="00E62F1C" w:rsidRDefault="00CB5234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B26983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CB5234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CB5234">
              <w:rPr>
                <w:rFonts w:cs="Times New Roman"/>
                <w:noProof/>
                <w:lang w:val="ru-RU"/>
              </w:rPr>
              <w:t>2329967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B26983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CB5234">
              <w:rPr>
                <w:rFonts w:cs="Times New Roman"/>
                <w:noProof/>
              </w:rPr>
              <w:t>79166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26983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CB5234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CB5234">
              <w:rPr>
                <w:rFonts w:cs="Times New Roman"/>
                <w:noProof/>
              </w:rPr>
              <w:t>160067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26983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CB5234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CB5234">
              <w:rPr>
                <w:rFonts w:cs="Times New Roman"/>
                <w:noProof/>
                <w:lang w:val="ru-RU"/>
              </w:rPr>
              <w:t>5928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Default="009A00D5" w:rsidP="00DB7940">
      <w:pPr>
        <w:rPr>
          <w:lang w:val="ru-RU"/>
        </w:rPr>
      </w:pPr>
    </w:p>
    <w:p w:rsidR="00CB5234" w:rsidRDefault="00CB5234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CB5234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71795" cy="265867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88" cy="2661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4" w:rsidRDefault="00CB5234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CB5234">
        <w:rPr>
          <w:rFonts w:cs="Times New Roman"/>
          <w:b/>
          <w:lang w:val="ru-RU"/>
        </w:rPr>
        <w:t>19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CB5234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81325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8E07A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71215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8E07A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81686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B14C32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B14C32">
        <w:rPr>
          <w:rFonts w:cs="Times New Roman"/>
          <w:b/>
          <w:lang w:val="ru-RU"/>
        </w:rPr>
        <w:t xml:space="preserve">Информация из отчёта ВОЗ от </w:t>
      </w:r>
      <w:r w:rsidR="00B14C32" w:rsidRPr="00B14C32">
        <w:rPr>
          <w:rFonts w:cs="Times New Roman"/>
          <w:b/>
          <w:lang w:val="ru-RU"/>
        </w:rPr>
        <w:t>19</w:t>
      </w:r>
      <w:r w:rsidRPr="00B14C32">
        <w:rPr>
          <w:rFonts w:cs="Times New Roman"/>
          <w:b/>
          <w:lang w:val="ru-RU"/>
        </w:rPr>
        <w:t>.04.20</w:t>
      </w:r>
    </w:p>
    <w:p w:rsidR="00DA1FE7" w:rsidRPr="00B14C32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C94B82" w:rsidRPr="00B14C32" w:rsidRDefault="00C94B82" w:rsidP="00E3184A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 w:rsidRPr="00B14C32">
        <w:rPr>
          <w:rFonts w:cs="Times New Roman"/>
          <w:lang w:val="ru-RU"/>
        </w:rPr>
        <w:t xml:space="preserve">ВОЗ </w:t>
      </w:r>
      <w:r w:rsidR="00E3184A" w:rsidRPr="00B14C32">
        <w:rPr>
          <w:rFonts w:cs="Times New Roman"/>
          <w:lang w:val="ru-RU"/>
        </w:rPr>
        <w:t xml:space="preserve"> опубликовала документ от </w:t>
      </w:r>
      <w:r w:rsidR="00B14C32" w:rsidRPr="00B14C32">
        <w:rPr>
          <w:rFonts w:cs="Times New Roman"/>
          <w:lang w:val="ru-RU"/>
        </w:rPr>
        <w:t>17</w:t>
      </w:r>
      <w:r w:rsidR="00E3184A" w:rsidRPr="00B14C32">
        <w:rPr>
          <w:rFonts w:cs="Times New Roman"/>
          <w:lang w:val="ru-RU"/>
        </w:rPr>
        <w:t>.04.20 «</w:t>
      </w:r>
      <w:r w:rsidR="00B14C32" w:rsidRPr="00B14C32">
        <w:rPr>
          <w:rFonts w:cs="Times New Roman"/>
          <w:lang w:val="ru-RU"/>
        </w:rPr>
        <w:t xml:space="preserve">Готовность, профилактика и контроль </w:t>
      </w:r>
      <w:r w:rsidR="00B14C32" w:rsidRPr="00B14C32">
        <w:rPr>
          <w:rFonts w:cs="Times New Roman"/>
          <w:lang w:val="en-US"/>
        </w:rPr>
        <w:t>COVID</w:t>
      </w:r>
      <w:r w:rsidR="00B14C32" w:rsidRPr="00B14C32">
        <w:rPr>
          <w:rFonts w:cs="Times New Roman"/>
          <w:lang w:val="ru-RU"/>
        </w:rPr>
        <w:t>-19 среди беженцев и мигрантов вне специализированных лагерей</w:t>
      </w:r>
      <w:r w:rsidR="00E3184A" w:rsidRPr="00B14C32">
        <w:rPr>
          <w:rFonts w:cs="Times New Roman"/>
          <w:lang w:val="ru-RU"/>
        </w:rPr>
        <w:t>»</w:t>
      </w:r>
    </w:p>
    <w:p w:rsidR="00C73B92" w:rsidRDefault="00C73B92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b/>
          <w:lang w:val="ru-RU"/>
        </w:rPr>
      </w:pPr>
    </w:p>
    <w:p w:rsidR="0060213C" w:rsidRDefault="0060213C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b/>
          <w:lang w:val="ru-RU"/>
        </w:rPr>
      </w:pPr>
    </w:p>
    <w:p w:rsidR="00AE6143" w:rsidRDefault="0060213C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 w:rsidRPr="0060213C">
        <w:rPr>
          <w:rFonts w:cs="Times New Roman"/>
          <w:lang w:val="ru-RU"/>
        </w:rPr>
        <w:t>По состоянию на</w:t>
      </w:r>
      <w:r>
        <w:rPr>
          <w:rFonts w:cs="Times New Roman"/>
          <w:lang w:val="ru-RU"/>
        </w:rPr>
        <w:t xml:space="preserve"> 13 апреля 2020 г. ВОЗ получила 747 546 заполненных форм о случаях заболевания из 113 стран</w:t>
      </w:r>
      <w:r w:rsidR="00AE6143">
        <w:rPr>
          <w:rFonts w:cs="Times New Roman"/>
          <w:lang w:val="ru-RU"/>
        </w:rPr>
        <w:t xml:space="preserve"> (большинство из Американского и Европейского региона, 55,6% и 42,3% соответственно, не поступало форм из Африканского региона)</w:t>
      </w:r>
      <w:r>
        <w:rPr>
          <w:rFonts w:cs="Times New Roman"/>
          <w:lang w:val="ru-RU"/>
        </w:rPr>
        <w:t>.</w:t>
      </w:r>
      <w:r w:rsidR="00AE6143">
        <w:rPr>
          <w:rFonts w:cs="Times New Roman"/>
          <w:lang w:val="ru-RU"/>
        </w:rPr>
        <w:t xml:space="preserve"> Большинство (74%) из них приходится на США, Германию, Италию. </w:t>
      </w:r>
    </w:p>
    <w:p w:rsid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Соотношение по полу составило 1.03:1 (мужчины к женщинам), наиболее выражена диспропорция в группах 70-79 лет (1,34:1) и 60-69 лет (1,27:1). При исключении из расчётов случаев из США, Германии и Италии, соотношение меняется в обратную сторону (0,95:1). Средний возраст составил 51 год.  </w:t>
      </w:r>
      <w:r w:rsidR="0060213C">
        <w:rPr>
          <w:rFonts w:cs="Times New Roman"/>
          <w:lang w:val="ru-RU"/>
        </w:rPr>
        <w:t xml:space="preserve"> </w:t>
      </w:r>
    </w:p>
    <w:p w:rsidR="00AE6143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AE6143" w:rsidRDefault="00AE6143" w:rsidP="00AE6143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398520" cy="2689860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6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13C" w:rsidRDefault="00AE6143" w:rsidP="00AE6143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 Распределение по возрасту и полу среди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 xml:space="preserve"> (зелёный цвет – мужчины, </w:t>
      </w:r>
      <w:proofErr w:type="spellStart"/>
      <w:r>
        <w:rPr>
          <w:rFonts w:cs="Times New Roman"/>
          <w:lang w:val="ru-RU"/>
        </w:rPr>
        <w:t>розовый</w:t>
      </w:r>
      <w:proofErr w:type="spellEnd"/>
      <w:r>
        <w:rPr>
          <w:rFonts w:cs="Times New Roman"/>
          <w:lang w:val="ru-RU"/>
        </w:rPr>
        <w:t xml:space="preserve"> - </w:t>
      </w:r>
      <w:proofErr w:type="spellStart"/>
      <w:r>
        <w:rPr>
          <w:rFonts w:cs="Times New Roman"/>
          <w:lang w:val="ru-RU"/>
        </w:rPr>
        <w:t>жещины</w:t>
      </w:r>
      <w:proofErr w:type="spellEnd"/>
      <w:r>
        <w:rPr>
          <w:rFonts w:cs="Times New Roman"/>
          <w:lang w:val="ru-RU"/>
        </w:rPr>
        <w:t>)</w:t>
      </w:r>
    </w:p>
    <w:p w:rsidR="0060213C" w:rsidRDefault="0060213C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AE6143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AE6143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AE6143" w:rsidRDefault="00AE6143" w:rsidP="00AE6143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848100" cy="233934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143" w:rsidRDefault="00AE6143" w:rsidP="00AE6143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Рис. По ходу вспышки наблюдается увеличение доли больных среди групп возрастом 20-39 лет и уменьшение в группе лиц 60-79 лет и 80+</w:t>
      </w:r>
    </w:p>
    <w:p w:rsidR="00AE6143" w:rsidRP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29739</w:t>
      </w:r>
      <w:r w:rsidR="008E07AB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4448</w:t>
      </w:r>
      <w:r w:rsidR="008E07A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8E07AB" w:rsidRPr="008E07AB">
        <w:rPr>
          <w:color w:val="000000"/>
        </w:rPr>
        <w:t>3491</w:t>
      </w:r>
      <w:r w:rsidR="008E07AB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8E07AB">
        <w:rPr>
          <w:color w:val="000000"/>
        </w:rPr>
        <w:t>й</w:t>
      </w:r>
      <w:r w:rsidR="00E71F4B">
        <w:rPr>
          <w:color w:val="000000"/>
        </w:rPr>
        <w:t xml:space="preserve">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2276</w:t>
      </w:r>
      <w:r w:rsidR="008E07AB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3824</w:t>
      </w:r>
      <w:r w:rsidR="008E07A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8E07A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3577</w:t>
      </w:r>
      <w:r w:rsidR="008E07A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E07A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  <w:r w:rsidR="001B14B9">
        <w:rPr>
          <w:rFonts w:cs="Times New Roman"/>
          <w:lang w:val="ru-RU"/>
        </w:rPr>
        <w:t>С 13.04 возобновляется работа предприятий «некритических» сфер, таких как промышленность и строительство (работники должны держаться на расстоянии 2 метров друг от друга)</w:t>
      </w:r>
      <w:r w:rsidR="00C73B92">
        <w:rPr>
          <w:rFonts w:cs="Times New Roman"/>
          <w:lang w:val="ru-RU"/>
        </w:rPr>
        <w:t>, а также компаний, предоставляющих услуги в сфере ремонта и безопасности</w:t>
      </w:r>
      <w:r w:rsidR="001B14B9">
        <w:rPr>
          <w:rFonts w:cs="Times New Roman"/>
          <w:lang w:val="ru-RU"/>
        </w:rPr>
        <w:t xml:space="preserve">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B224C" w:rsidRDefault="00EB224C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1045</w:t>
      </w:r>
      <w:r w:rsidR="008E07AB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>
        <w:rPr>
          <w:rFonts w:cs="Times New Roman"/>
          <w:lang w:val="ru-RU"/>
        </w:rPr>
        <w:t>самоизолироваться</w:t>
      </w:r>
      <w:proofErr w:type="spellEnd"/>
      <w:r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необходимости. Режим изоляции продлён до 3 мая. </w:t>
      </w:r>
    </w:p>
    <w:p w:rsidR="00EB224C" w:rsidRDefault="00EB224C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E07AB" w:rsidRPr="008E07AB">
        <w:rPr>
          <w:color w:val="000000"/>
        </w:rPr>
        <w:t>1374</w:t>
      </w:r>
      <w:r w:rsidR="008E07AB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8E07AB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>С 05.04 постепенно снимаются временные ограничения на ведение бизнеса в стране</w:t>
      </w:r>
      <w:r w:rsidR="00E30472">
        <w:rPr>
          <w:rFonts w:cs="Times New Roman"/>
          <w:lang w:val="ru-RU"/>
        </w:rPr>
        <w:t xml:space="preserve">, с 11.04 дополнительно снята часть ограничений с целью </w:t>
      </w:r>
      <w:proofErr w:type="gramStart"/>
      <w:r w:rsidR="00E30472">
        <w:rPr>
          <w:rFonts w:cs="Times New Roman"/>
          <w:lang w:val="ru-RU"/>
        </w:rPr>
        <w:t>по</w:t>
      </w:r>
      <w:r w:rsidR="002A5495">
        <w:rPr>
          <w:rFonts w:cs="Times New Roman"/>
          <w:lang w:val="ru-RU"/>
        </w:rPr>
        <w:t>д</w:t>
      </w:r>
      <w:r w:rsidR="00E30472">
        <w:rPr>
          <w:rFonts w:cs="Times New Roman"/>
          <w:lang w:val="ru-RU"/>
        </w:rPr>
        <w:t>держать</w:t>
      </w:r>
      <w:proofErr w:type="gramEnd"/>
      <w:r w:rsidR="00E30472">
        <w:rPr>
          <w:rFonts w:cs="Times New Roman"/>
          <w:lang w:val="ru-RU"/>
        </w:rPr>
        <w:t xml:space="preserve"> экономику в стране</w:t>
      </w:r>
      <w:r w:rsidR="000D22DB">
        <w:rPr>
          <w:rFonts w:cs="Times New Roman"/>
          <w:lang w:val="ru-RU"/>
        </w:rPr>
        <w:t>.</w:t>
      </w:r>
      <w:r w:rsidR="002A5495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E07AB" w:rsidRPr="008E07AB">
        <w:rPr>
          <w:color w:val="000000"/>
        </w:rPr>
        <w:t>3783</w:t>
      </w:r>
      <w:r w:rsidR="008E07AB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я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  <w:r w:rsidR="008A2D43">
        <w:rPr>
          <w:rFonts w:cs="Times New Roman"/>
          <w:lang w:val="ru-RU"/>
        </w:rPr>
        <w:t>В выходные 11, 12, 18, 19 апреля вводится комендантский час с запретом на выход из дома.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8E07AB" w:rsidRPr="008E07AB">
        <w:rPr>
          <w:color w:val="000000"/>
        </w:rPr>
        <w:t>2539</w:t>
      </w:r>
      <w:r w:rsidR="008E07AB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E71F4B">
        <w:rPr>
          <w:color w:val="000000"/>
          <w:lang w:val="ru-RU"/>
        </w:rPr>
        <w:t>ев</w:t>
      </w:r>
      <w:r w:rsidR="00596168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8E07AB" w:rsidRPr="008E07AB">
        <w:rPr>
          <w:color w:val="000000"/>
        </w:rPr>
        <w:t>2013</w:t>
      </w:r>
      <w:r w:rsidR="008E07AB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96168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596168" w:rsidRDefault="00596168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E07AB" w:rsidRPr="008E07AB">
        <w:rPr>
          <w:color w:val="000000"/>
        </w:rPr>
        <w:t>970</w:t>
      </w:r>
      <w:r w:rsidR="008E07A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8E07AB" w:rsidRDefault="008E07AB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8E07AB">
        <w:rPr>
          <w:color w:val="000000"/>
        </w:rPr>
        <w:t>1132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7718BB">
        <w:rPr>
          <w:color w:val="000000"/>
          <w:lang w:val="ru-RU"/>
        </w:rPr>
        <w:t xml:space="preserve">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</w:t>
      </w:r>
      <w:r w:rsidR="000A7FBD">
        <w:rPr>
          <w:color w:val="000000"/>
          <w:lang w:val="ru-RU"/>
        </w:rPr>
        <w:t xml:space="preserve">Запрещены поездки внутри страны. Введён комендантский час. Закрыты торговые точки, кроме </w:t>
      </w:r>
      <w:proofErr w:type="gramStart"/>
      <w:r w:rsidR="000A7FBD">
        <w:rPr>
          <w:color w:val="000000"/>
          <w:lang w:val="ru-RU"/>
        </w:rPr>
        <w:t>торгующих</w:t>
      </w:r>
      <w:proofErr w:type="gramEnd"/>
      <w:r w:rsidR="000A7FBD">
        <w:rPr>
          <w:color w:val="000000"/>
          <w:lang w:val="ru-RU"/>
        </w:rPr>
        <w:t xml:space="preserve"> товарами первой необходимости, рестораны. Запрещено скопление людей.  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E07AB">
        <w:rPr>
          <w:b/>
          <w:i/>
          <w:color w:val="000000"/>
          <w:lang w:val="ru-RU"/>
        </w:rPr>
        <w:t>Сингапур.</w:t>
      </w:r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8E07AB">
        <w:rPr>
          <w:color w:val="000000"/>
        </w:rPr>
        <w:t xml:space="preserve">942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  <w:lang w:val="ru-RU"/>
        </w:rPr>
        <w:t xml:space="preserve">) </w:t>
      </w:r>
      <w:r w:rsidR="00D06BDA">
        <w:rPr>
          <w:color w:val="000000"/>
          <w:lang w:val="ru-RU"/>
        </w:rPr>
        <w:t xml:space="preserve">Приостановлены работы кроме наиболее необходимых, закрыты кафе, большинство магазинов, образовательные учреждения. </w:t>
      </w:r>
      <w:r w:rsidR="00B14C32">
        <w:rPr>
          <w:color w:val="000000"/>
          <w:lang w:val="ru-RU"/>
        </w:rPr>
        <w:t>Обязательно ношение масок вне дома. Выход из дома</w:t>
      </w:r>
      <w:r w:rsidR="00D06BDA">
        <w:rPr>
          <w:color w:val="000000"/>
          <w:lang w:val="ru-RU"/>
        </w:rPr>
        <w:t xml:space="preserve"> </w:t>
      </w:r>
      <w:r w:rsidR="00B14C32">
        <w:rPr>
          <w:color w:val="000000"/>
          <w:lang w:val="ru-RU"/>
        </w:rPr>
        <w:t xml:space="preserve">разрешён для покупок еды и медикаментов, поездок на работу. Въезд иностранцев разрешён в исключительных случаях по разрешению властей. </w:t>
      </w:r>
    </w:p>
    <w:p w:rsidR="008E07AB" w:rsidRDefault="008E07AB" w:rsidP="00596168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A04B3A" w:rsidRPr="000E7E1A" w:rsidRDefault="00A04B3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A04B3A" w:rsidRPr="000E7E1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511"/>
    <w:multiLevelType w:val="hybridMultilevel"/>
    <w:tmpl w:val="F236B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1E30"/>
    <w:multiLevelType w:val="hybridMultilevel"/>
    <w:tmpl w:val="8CE48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4A6E33"/>
    <w:multiLevelType w:val="hybridMultilevel"/>
    <w:tmpl w:val="EA06A8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46F74C3"/>
    <w:multiLevelType w:val="hybridMultilevel"/>
    <w:tmpl w:val="58B224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00383A"/>
    <w:multiLevelType w:val="hybridMultilevel"/>
    <w:tmpl w:val="73A62C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6A30E7"/>
    <w:multiLevelType w:val="hybridMultilevel"/>
    <w:tmpl w:val="A1ACD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8"/>
  </w:num>
  <w:num w:numId="9">
    <w:abstractNumId w:val="12"/>
  </w:num>
  <w:num w:numId="10">
    <w:abstractNumId w:val="21"/>
  </w:num>
  <w:num w:numId="11">
    <w:abstractNumId w:val="10"/>
  </w:num>
  <w:num w:numId="12">
    <w:abstractNumId w:val="38"/>
  </w:num>
  <w:num w:numId="13">
    <w:abstractNumId w:val="3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17"/>
  </w:num>
  <w:num w:numId="16">
    <w:abstractNumId w:val="26"/>
  </w:num>
  <w:num w:numId="17">
    <w:abstractNumId w:val="45"/>
  </w:num>
  <w:num w:numId="18">
    <w:abstractNumId w:val="15"/>
  </w:num>
  <w:num w:numId="19">
    <w:abstractNumId w:val="1"/>
  </w:num>
  <w:num w:numId="20">
    <w:abstractNumId w:val="34"/>
  </w:num>
  <w:num w:numId="21">
    <w:abstractNumId w:val="8"/>
  </w:num>
  <w:num w:numId="22">
    <w:abstractNumId w:val="25"/>
  </w:num>
  <w:num w:numId="23">
    <w:abstractNumId w:val="30"/>
  </w:num>
  <w:num w:numId="24">
    <w:abstractNumId w:val="29"/>
  </w:num>
  <w:num w:numId="25">
    <w:abstractNumId w:val="44"/>
  </w:num>
  <w:num w:numId="26">
    <w:abstractNumId w:val="39"/>
  </w:num>
  <w:num w:numId="27">
    <w:abstractNumId w:val="3"/>
  </w:num>
  <w:num w:numId="28">
    <w:abstractNumId w:val="28"/>
  </w:num>
  <w:num w:numId="29">
    <w:abstractNumId w:val="43"/>
  </w:num>
  <w:num w:numId="30">
    <w:abstractNumId w:val="2"/>
  </w:num>
  <w:num w:numId="31">
    <w:abstractNumId w:val="20"/>
  </w:num>
  <w:num w:numId="32">
    <w:abstractNumId w:val="42"/>
  </w:num>
  <w:num w:numId="33">
    <w:abstractNumId w:val="41"/>
  </w:num>
  <w:num w:numId="34">
    <w:abstractNumId w:val="40"/>
  </w:num>
  <w:num w:numId="35">
    <w:abstractNumId w:val="22"/>
  </w:num>
  <w:num w:numId="36">
    <w:abstractNumId w:val="7"/>
  </w:num>
  <w:num w:numId="37">
    <w:abstractNumId w:val="13"/>
  </w:num>
  <w:num w:numId="38">
    <w:abstractNumId w:val="19"/>
  </w:num>
  <w:num w:numId="39">
    <w:abstractNumId w:val="46"/>
  </w:num>
  <w:num w:numId="40">
    <w:abstractNumId w:val="5"/>
  </w:num>
  <w:num w:numId="41">
    <w:abstractNumId w:val="4"/>
  </w:num>
  <w:num w:numId="42">
    <w:abstractNumId w:val="23"/>
  </w:num>
  <w:num w:numId="43">
    <w:abstractNumId w:val="37"/>
  </w:num>
  <w:num w:numId="44">
    <w:abstractNumId w:val="11"/>
  </w:num>
  <w:num w:numId="45">
    <w:abstractNumId w:val="36"/>
  </w:num>
  <w:num w:numId="46">
    <w:abstractNumId w:val="6"/>
  </w:num>
  <w:num w:numId="47">
    <w:abstractNumId w:val="0"/>
  </w:num>
  <w:num w:numId="48">
    <w:abstractNumId w:val="9"/>
  </w:num>
  <w:num w:numId="49">
    <w:abstractNumId w:val="16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1574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02BD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A7FBD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4308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0EDD"/>
    <w:rsid w:val="005F280C"/>
    <w:rsid w:val="005F3E92"/>
    <w:rsid w:val="005F6DBE"/>
    <w:rsid w:val="0060213C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089F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5088"/>
    <w:rsid w:val="00766C9E"/>
    <w:rsid w:val="007718BB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07AB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6143"/>
    <w:rsid w:val="00AE7EFF"/>
    <w:rsid w:val="00AF1392"/>
    <w:rsid w:val="00AF32C9"/>
    <w:rsid w:val="00AF42D8"/>
    <w:rsid w:val="00AF42FC"/>
    <w:rsid w:val="00B02E11"/>
    <w:rsid w:val="00B126BC"/>
    <w:rsid w:val="00B12BDB"/>
    <w:rsid w:val="00B14C32"/>
    <w:rsid w:val="00B14EC6"/>
    <w:rsid w:val="00B169BB"/>
    <w:rsid w:val="00B20442"/>
    <w:rsid w:val="00B20D95"/>
    <w:rsid w:val="00B26983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94B82"/>
    <w:rsid w:val="00CA068A"/>
    <w:rsid w:val="00CA3C5D"/>
    <w:rsid w:val="00CB2E32"/>
    <w:rsid w:val="00CB5234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6BDA"/>
    <w:rsid w:val="00D07AF9"/>
    <w:rsid w:val="00D12E90"/>
    <w:rsid w:val="00D22600"/>
    <w:rsid w:val="00D275E4"/>
    <w:rsid w:val="00D308DE"/>
    <w:rsid w:val="00D325C9"/>
    <w:rsid w:val="00D36956"/>
    <w:rsid w:val="00D37196"/>
    <w:rsid w:val="00D37D73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74F5E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D6A48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184A"/>
    <w:rsid w:val="00E34DD3"/>
    <w:rsid w:val="00E44A8B"/>
    <w:rsid w:val="00E54B15"/>
    <w:rsid w:val="00E5732B"/>
    <w:rsid w:val="00E60A03"/>
    <w:rsid w:val="00E624CE"/>
    <w:rsid w:val="00E62F1C"/>
    <w:rsid w:val="00E71F4B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48C4B-E33C-4CB2-A3AB-31EBE11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Skudareva_ON</cp:lastModifiedBy>
  <cp:revision>10</cp:revision>
  <cp:lastPrinted>2020-03-03T04:16:00Z</cp:lastPrinted>
  <dcterms:created xsi:type="dcterms:W3CDTF">2020-04-18T05:34:00Z</dcterms:created>
  <dcterms:modified xsi:type="dcterms:W3CDTF">2020-04-19T06:26:00Z</dcterms:modified>
</cp:coreProperties>
</file>