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225D99">
        <w:rPr>
          <w:rFonts w:cs="Times New Roman"/>
          <w:b/>
          <w:lang w:val="ru-RU"/>
        </w:rPr>
        <w:t>30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225D99" w:rsidRPr="00225D99" w:rsidRDefault="00225D99" w:rsidP="00225D99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225D99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225D99">
        <w:rPr>
          <w:rFonts w:cs="Times New Roman"/>
          <w:lang w:val="ru-RU"/>
        </w:rPr>
        <w:t>мск</w:t>
      </w:r>
      <w:proofErr w:type="spellEnd"/>
      <w:r w:rsidRPr="00225D99">
        <w:rPr>
          <w:rFonts w:cs="Times New Roman"/>
          <w:lang w:val="ru-RU"/>
        </w:rPr>
        <w:t xml:space="preserve"> 30.03.2020 г. из доступных источников известно о </w:t>
      </w:r>
      <w:r w:rsidRPr="00225D99">
        <w:rPr>
          <w:rFonts w:cs="Times New Roman"/>
          <w:b/>
          <w:lang w:val="ru-RU"/>
        </w:rPr>
        <w:t>722042</w:t>
      </w:r>
      <w:r w:rsidRPr="00225D99">
        <w:rPr>
          <w:rFonts w:cs="Times New Roman"/>
          <w:lang w:val="ru-RU"/>
        </w:rPr>
        <w:t xml:space="preserve"> подтверждённых случаях (прирост за сутки 59101 случаев; 8,9%). В 171 странах мира вне КНР зарегистрировано 639595 случаев (за последние сутки прирост 58995; 10,2%).</w:t>
      </w:r>
    </w:p>
    <w:p w:rsidR="00352472" w:rsidRPr="00225D99" w:rsidRDefault="00225D99" w:rsidP="00225D99">
      <w:pPr>
        <w:pStyle w:val="a6"/>
        <w:numPr>
          <w:ilvl w:val="0"/>
          <w:numId w:val="35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225D99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29.03.2020 г. (19.00 по </w:t>
      </w:r>
      <w:proofErr w:type="spellStart"/>
      <w:r w:rsidRPr="00225D99">
        <w:rPr>
          <w:rFonts w:cs="Times New Roman"/>
          <w:lang w:val="ru-RU"/>
        </w:rPr>
        <w:t>мск</w:t>
      </w:r>
      <w:proofErr w:type="spellEnd"/>
      <w:r w:rsidRPr="00225D99">
        <w:rPr>
          <w:rFonts w:cs="Times New Roman"/>
          <w:lang w:val="ru-RU"/>
        </w:rPr>
        <w:t>) в целом в КНР зарегистрировано случаев заболевания – 82447. За сутки с 00.00 29.03.2020 по 00.00 (время Пекина) 30.03.2020 г. прирост составил 106 случаев (0,13%). Случаев с летальным исходом – 3311 (летальность 4,0%).</w:t>
      </w:r>
    </w:p>
    <w:p w:rsidR="00225D99" w:rsidRPr="00636E7D" w:rsidRDefault="00225D99" w:rsidP="00225D99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225D99" w:rsidRPr="007E6987" w:rsidTr="00225D99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225D99" w:rsidRPr="007E6987" w:rsidTr="00225D99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82447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106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0,13%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3311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5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4,0%</w:t>
            </w:r>
          </w:p>
        </w:tc>
      </w:tr>
      <w:tr w:rsidR="00225D99" w:rsidRPr="007E6987" w:rsidTr="00225D99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639595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58995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10,2%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30650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3113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4,8%</w:t>
            </w:r>
          </w:p>
        </w:tc>
      </w:tr>
      <w:tr w:rsidR="00225D99" w:rsidRPr="007E6987" w:rsidTr="00225D99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225D99" w:rsidRPr="007E6987" w:rsidRDefault="00225D99" w:rsidP="00225D9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722042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59101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8,9%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33961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225D99" w:rsidRPr="006E54AD" w:rsidRDefault="00225D99" w:rsidP="00225D99">
            <w:pPr>
              <w:jc w:val="center"/>
            </w:pPr>
            <w:r w:rsidRPr="006E54AD">
              <w:t>3118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225D99" w:rsidRDefault="00225D99" w:rsidP="00225D99">
            <w:pPr>
              <w:jc w:val="center"/>
            </w:pPr>
            <w:r w:rsidRPr="006E54AD">
              <w:t>4,7%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636E7D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805" cy="3359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82447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1418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1C5D" w:rsidRPr="00ED1A2C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25CA6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0A189A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25CA6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25CA6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1C5D" w:rsidRPr="00F25CA6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40723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62095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97689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5217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10779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80110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6878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Завоз; </w:t>
            </w:r>
            <w:proofErr w:type="gramStart"/>
            <w:r>
              <w:rPr>
                <w:color w:val="000000"/>
                <w:lang w:val="ru-RU"/>
              </w:rPr>
              <w:t>Местная</w:t>
            </w:r>
            <w:proofErr w:type="gramEnd"/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8788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5962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1862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435E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4D0E7F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4D0E7F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4D0E7F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435E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9217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435E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435E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1C5D" w:rsidRPr="00F435E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142328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18390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4D0E7F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CB23F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4456F1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33397F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Pr="00C65EA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C65EA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C65EA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C65EA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E75737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F42A6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4403D0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4403D0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4403D0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4403D0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4403D0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164177" w:rsidRDefault="00951C5D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BE2C3D" w:rsidRDefault="00951C5D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014DFB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647520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967E62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93977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93977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93977" w:rsidRDefault="00951C5D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56517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951C5D" w:rsidRPr="00B679C4" w:rsidRDefault="00951C5D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Pr="003C18EB" w:rsidRDefault="00951C5D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085B97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C5D" w:rsidRDefault="00951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C5D" w:rsidRDefault="00951C5D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951C5D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951C5D" w:rsidRPr="003C18EB" w:rsidRDefault="00951C5D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951C5D" w:rsidRPr="00B679C4" w:rsidRDefault="00951C5D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951C5D" w:rsidRPr="008E2B9E" w:rsidRDefault="00951C5D" w:rsidP="00427FFB">
            <w:r w:rsidRPr="008E2B9E">
              <w:t>722042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951C5D" w:rsidRPr="008E2B9E" w:rsidRDefault="00951C5D" w:rsidP="00427FFB">
            <w:r w:rsidRPr="008E2B9E">
              <w:t>59101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951C5D" w:rsidRPr="008E2B9E" w:rsidRDefault="00951C5D" w:rsidP="00427FFB">
            <w:r w:rsidRPr="008E2B9E">
              <w:t>33961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951C5D" w:rsidRPr="00951C5D" w:rsidRDefault="00951C5D" w:rsidP="00427FFB">
            <w:pPr>
              <w:rPr>
                <w:lang w:val="ru-RU"/>
              </w:rPr>
            </w:pPr>
            <w:r w:rsidRPr="008E2B9E">
              <w:t>3118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951C5D" w:rsidRDefault="00951C5D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951C5D">
        <w:rPr>
          <w:rFonts w:cs="Times New Roman"/>
          <w:b/>
          <w:lang w:val="ru-RU"/>
        </w:rPr>
        <w:t>30</w:t>
      </w:r>
      <w:r>
        <w:rPr>
          <w:rFonts w:cs="Times New Roman"/>
          <w:b/>
          <w:lang w:val="ru-RU"/>
        </w:rPr>
        <w:t xml:space="preserve">.03.20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427FF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4264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427FF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21660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427FFB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38328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10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</w:t>
      </w:r>
      <w:proofErr w:type="gramStart"/>
      <w:r w:rsidR="004C6018" w:rsidRPr="00A474EB">
        <w:rPr>
          <w:rFonts w:cs="Times New Roman"/>
          <w:lang w:val="ru-RU"/>
        </w:rPr>
        <w:t>важных</w:t>
      </w:r>
      <w:proofErr w:type="gramEnd"/>
      <w:r w:rsidR="004C6018" w:rsidRPr="00A474EB"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proofErr w:type="gramStart"/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561AD4" w:rsidRPr="0033705E">
        <w:rPr>
          <w:rFonts w:cs="Times New Roman"/>
          <w:lang w:val="ru-RU"/>
        </w:rPr>
        <w:t>Шенгенской</w:t>
      </w:r>
      <w:proofErr w:type="spellEnd"/>
      <w:r w:rsidR="00561AD4" w:rsidRPr="0033705E">
        <w:rPr>
          <w:rFonts w:cs="Times New Roman"/>
          <w:lang w:val="ru-RU"/>
        </w:rPr>
        <w:t xml:space="preserve"> зоны </w:t>
      </w:r>
      <w:r w:rsidR="00561AD4">
        <w:rPr>
          <w:rFonts w:cs="Times New Roman"/>
          <w:lang w:val="ru-RU"/>
        </w:rPr>
        <w:t>закрыты начиная</w:t>
      </w:r>
      <w:proofErr w:type="gramEnd"/>
      <w:r w:rsidR="00561AD4">
        <w:rPr>
          <w:rFonts w:cs="Times New Roman"/>
          <w:lang w:val="ru-RU"/>
        </w:rPr>
        <w:t xml:space="preserve">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</w:t>
      </w:r>
      <w:proofErr w:type="spellStart"/>
      <w:r w:rsidR="002D7265" w:rsidRPr="002D7265">
        <w:rPr>
          <w:rFonts w:cs="Times New Roman"/>
          <w:lang w:val="ru-RU"/>
        </w:rPr>
        <w:t>обязу</w:t>
      </w:r>
      <w:r w:rsidR="00561AD4">
        <w:rPr>
          <w:rFonts w:cs="Times New Roman"/>
          <w:lang w:val="ru-RU"/>
        </w:rPr>
        <w:t>ющий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3E4B87">
        <w:rPr>
          <w:rFonts w:cs="Times New Roman"/>
          <w:lang w:val="ru-RU"/>
        </w:rPr>
        <w:t xml:space="preserve">27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3E4B87">
        <w:rPr>
          <w:rFonts w:cs="Times New Roman"/>
          <w:lang w:val="ru-RU"/>
        </w:rPr>
        <w:t>ов</w:t>
      </w:r>
      <w:r w:rsidR="00B86096">
        <w:rPr>
          <w:rFonts w:cs="Times New Roman"/>
          <w:lang w:val="ru-RU"/>
        </w:rPr>
        <w:t>.</w:t>
      </w:r>
    </w:p>
    <w:p w:rsidR="000C34FD" w:rsidRDefault="000C34FD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Pr="001D7917" w:rsidRDefault="001D7917" w:rsidP="001D7917">
      <w:pPr>
        <w:pStyle w:val="a6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1D7917">
        <w:rPr>
          <w:rFonts w:cs="Times New Roman"/>
          <w:b/>
          <w:lang w:val="ru-RU"/>
        </w:rPr>
        <w:t xml:space="preserve">Информация из отчёта ВОЗ от </w:t>
      </w:r>
      <w:r w:rsidR="003E4B87">
        <w:rPr>
          <w:rFonts w:cs="Times New Roman"/>
          <w:b/>
          <w:lang w:val="ru-RU"/>
        </w:rPr>
        <w:t>30</w:t>
      </w:r>
      <w:r w:rsidRPr="001D7917">
        <w:rPr>
          <w:rFonts w:cs="Times New Roman"/>
          <w:b/>
          <w:lang w:val="ru-RU"/>
        </w:rPr>
        <w:t>.03.20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1612D" w:rsidRDefault="003E4B87" w:rsidP="00A1612D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Европейское бюро ВОЗ опубликовало 27.03.20 </w:t>
      </w:r>
      <w:r w:rsidR="00A1612D">
        <w:rPr>
          <w:rFonts w:cs="Times New Roman"/>
          <w:lang w:val="ru-RU"/>
        </w:rPr>
        <w:t xml:space="preserve">сообщение «Ментальное здоровье и психологическая устойчивость во время вспышки </w:t>
      </w:r>
      <w:r w:rsidR="00A1612D">
        <w:rPr>
          <w:rFonts w:cs="Times New Roman"/>
          <w:lang w:val="en-US"/>
        </w:rPr>
        <w:t>COVID</w:t>
      </w:r>
      <w:r w:rsidR="00A1612D" w:rsidRPr="00A1612D">
        <w:rPr>
          <w:rFonts w:cs="Times New Roman"/>
          <w:lang w:val="ru-RU"/>
        </w:rPr>
        <w:t>-19</w:t>
      </w:r>
      <w:r w:rsidR="00A1612D">
        <w:rPr>
          <w:rFonts w:cs="Times New Roman"/>
          <w:lang w:val="ru-RU"/>
        </w:rPr>
        <w:t>».</w:t>
      </w:r>
    </w:p>
    <w:p w:rsidR="00A1612D" w:rsidRPr="00A1612D" w:rsidRDefault="00A1612D" w:rsidP="00A1612D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Фонд солидарности при борьбе с </w:t>
      </w:r>
      <w:r>
        <w:rPr>
          <w:rFonts w:cs="Times New Roman"/>
          <w:lang w:val="en-US"/>
        </w:rPr>
        <w:t>COVID</w:t>
      </w:r>
      <w:r w:rsidRPr="00A1612D">
        <w:rPr>
          <w:rFonts w:cs="Times New Roman"/>
          <w:lang w:val="ru-RU"/>
        </w:rPr>
        <w:t xml:space="preserve">-19 </w:t>
      </w:r>
      <w:r>
        <w:rPr>
          <w:rFonts w:cs="Times New Roman"/>
          <w:lang w:val="ru-RU"/>
        </w:rPr>
        <w:t>получил более 108 млн. долларов пожертвований от 203 тыс. человек и организаций.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DB6D15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4"/>
  </w:num>
  <w:num w:numId="13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5"/>
  </w:num>
  <w:num w:numId="17">
    <w:abstractNumId w:val="31"/>
  </w:num>
  <w:num w:numId="18">
    <w:abstractNumId w:val="7"/>
  </w:num>
  <w:num w:numId="19">
    <w:abstractNumId w:val="0"/>
  </w:num>
  <w:num w:numId="20">
    <w:abstractNumId w:val="22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  <w:num w:numId="25">
    <w:abstractNumId w:val="30"/>
  </w:num>
  <w:num w:numId="26">
    <w:abstractNumId w:val="25"/>
  </w:num>
  <w:num w:numId="27">
    <w:abstractNumId w:val="2"/>
  </w:num>
  <w:num w:numId="28">
    <w:abstractNumId w:val="16"/>
  </w:num>
  <w:num w:numId="29">
    <w:abstractNumId w:val="29"/>
  </w:num>
  <w:num w:numId="30">
    <w:abstractNumId w:val="1"/>
  </w:num>
  <w:num w:numId="31">
    <w:abstractNumId w:val="10"/>
  </w:num>
  <w:num w:numId="32">
    <w:abstractNumId w:val="28"/>
  </w:num>
  <w:num w:numId="33">
    <w:abstractNumId w:val="27"/>
  </w:num>
  <w:num w:numId="34">
    <w:abstractNumId w:val="26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2472"/>
    <w:rsid w:val="003550BE"/>
    <w:rsid w:val="00357353"/>
    <w:rsid w:val="0036423A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4B87"/>
    <w:rsid w:val="003E6FEA"/>
    <w:rsid w:val="003F1C66"/>
    <w:rsid w:val="003F42A6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84753"/>
    <w:rsid w:val="005848FB"/>
    <w:rsid w:val="00592276"/>
    <w:rsid w:val="005938F8"/>
    <w:rsid w:val="00593916"/>
    <w:rsid w:val="005A1441"/>
    <w:rsid w:val="005A2BF0"/>
    <w:rsid w:val="005B1441"/>
    <w:rsid w:val="005B60DB"/>
    <w:rsid w:val="005C0B0E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05C9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5E09"/>
    <w:rsid w:val="007F7425"/>
    <w:rsid w:val="00802E61"/>
    <w:rsid w:val="00804633"/>
    <w:rsid w:val="00811AAA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0BB1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41BBD-84FD-407F-8175-13509A10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157</cp:revision>
  <cp:lastPrinted>2020-03-03T04:16:00Z</cp:lastPrinted>
  <dcterms:created xsi:type="dcterms:W3CDTF">2020-03-07T05:32:00Z</dcterms:created>
  <dcterms:modified xsi:type="dcterms:W3CDTF">2020-03-30T08:25:00Z</dcterms:modified>
</cp:coreProperties>
</file>